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7922AC">
      <w:pPr>
        <w:pStyle w:val="Default"/>
        <w:spacing w:line="540" w:lineRule="auto"/>
        <w:jc w:val="center"/>
        <w:rPr>
          <w:rFonts w:ascii="黑体" w:eastAsia="黑体" w:hAnsi="黑体"/>
          <w:color w:val="auto"/>
          <w:sz w:val="48"/>
          <w:szCs w:val="44"/>
        </w:rPr>
      </w:pPr>
      <w:r>
        <w:rPr>
          <w:rFonts w:ascii="黑体" w:eastAsia="黑体" w:hAnsi="黑体" w:hint="eastAsia"/>
          <w:color w:val="auto"/>
          <w:sz w:val="48"/>
          <w:szCs w:val="44"/>
        </w:rPr>
        <w:t>德惠市人民法院</w:t>
      </w:r>
    </w:p>
    <w:p w:rsidR="00976DC7" w:rsidRDefault="007922AC">
      <w:pPr>
        <w:pStyle w:val="Default"/>
        <w:spacing w:line="540" w:lineRule="auto"/>
        <w:jc w:val="center"/>
        <w:rPr>
          <w:rFonts w:ascii="黑体" w:eastAsia="黑体" w:hAnsi="黑体"/>
          <w:color w:val="auto"/>
          <w:sz w:val="48"/>
          <w:szCs w:val="44"/>
        </w:rPr>
      </w:pPr>
      <w:r>
        <w:rPr>
          <w:rFonts w:ascii="黑体" w:eastAsia="黑体" w:hAnsi="黑体" w:hint="eastAsia"/>
          <w:color w:val="auto"/>
          <w:sz w:val="48"/>
          <w:szCs w:val="44"/>
        </w:rPr>
        <w:t>行政审判运行态势分析报告</w:t>
      </w:r>
    </w:p>
    <w:p w:rsidR="00976DC7" w:rsidRDefault="007922AC">
      <w:pPr>
        <w:pStyle w:val="Default"/>
        <w:jc w:val="center"/>
        <w:rPr>
          <w:rFonts w:ascii="楷体" w:eastAsia="楷体" w:hAnsi="楷体"/>
          <w:color w:val="auto"/>
          <w:szCs w:val="32"/>
        </w:rPr>
      </w:pPr>
      <w:r>
        <w:rPr>
          <w:rFonts w:ascii="楷体" w:eastAsia="楷体" w:hAnsi="楷体" w:hint="eastAsia"/>
          <w:color w:val="auto"/>
          <w:sz w:val="36"/>
          <w:szCs w:val="44"/>
        </w:rPr>
        <w:t>(202</w:t>
      </w:r>
      <w:r w:rsidR="00287989">
        <w:rPr>
          <w:rFonts w:ascii="楷体" w:eastAsia="楷体" w:hAnsi="楷体" w:hint="eastAsia"/>
          <w:color w:val="auto"/>
          <w:sz w:val="36"/>
          <w:szCs w:val="44"/>
        </w:rPr>
        <w:t>1</w:t>
      </w:r>
      <w:r>
        <w:rPr>
          <w:rFonts w:ascii="楷体" w:eastAsia="楷体" w:hAnsi="楷体" w:hint="eastAsia"/>
          <w:color w:val="auto"/>
          <w:sz w:val="36"/>
          <w:szCs w:val="44"/>
        </w:rPr>
        <w:t>年度)</w:t>
      </w: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6"/>
          <w:szCs w:val="32"/>
        </w:rPr>
      </w:pPr>
    </w:p>
    <w:p w:rsidR="00976DC7" w:rsidRDefault="007922AC">
      <w:pPr>
        <w:pStyle w:val="Default"/>
        <w:jc w:val="center"/>
        <w:rPr>
          <w:rFonts w:ascii="楷体" w:eastAsia="楷体" w:hAnsi="楷体"/>
          <w:color w:val="auto"/>
          <w:sz w:val="36"/>
          <w:szCs w:val="32"/>
        </w:rPr>
      </w:pPr>
      <w:r>
        <w:rPr>
          <w:rFonts w:ascii="楷体" w:eastAsia="楷体" w:hAnsi="楷体" w:hint="eastAsia"/>
          <w:color w:val="auto"/>
          <w:sz w:val="36"/>
          <w:szCs w:val="32"/>
        </w:rPr>
        <w:t>二〇二</w:t>
      </w:r>
      <w:r w:rsidR="00604606">
        <w:rPr>
          <w:rFonts w:ascii="楷体" w:eastAsia="楷体" w:hAnsi="楷体" w:hint="eastAsia"/>
          <w:color w:val="auto"/>
          <w:sz w:val="36"/>
          <w:szCs w:val="32"/>
        </w:rPr>
        <w:t>二</w:t>
      </w:r>
      <w:r>
        <w:rPr>
          <w:rFonts w:ascii="楷体" w:eastAsia="楷体" w:hAnsi="楷体" w:hint="eastAsia"/>
          <w:color w:val="auto"/>
          <w:sz w:val="36"/>
          <w:szCs w:val="32"/>
        </w:rPr>
        <w:t>年</w:t>
      </w:r>
      <w:r w:rsidR="001D72CC">
        <w:rPr>
          <w:rFonts w:ascii="楷体" w:eastAsia="楷体" w:hAnsi="楷体" w:hint="eastAsia"/>
          <w:color w:val="auto"/>
          <w:sz w:val="36"/>
          <w:szCs w:val="32"/>
        </w:rPr>
        <w:t>七</w:t>
      </w:r>
      <w:r>
        <w:rPr>
          <w:rFonts w:ascii="楷体" w:eastAsia="楷体" w:hAnsi="楷体" w:hint="eastAsia"/>
          <w:color w:val="auto"/>
          <w:sz w:val="36"/>
          <w:szCs w:val="32"/>
        </w:rPr>
        <w:t>月</w:t>
      </w: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rPr>
          <w:rFonts w:ascii="仿宋" w:eastAsia="仿宋" w:hAnsi="仿宋"/>
          <w:color w:val="auto"/>
          <w:sz w:val="32"/>
          <w:szCs w:val="32"/>
        </w:rPr>
      </w:pPr>
    </w:p>
    <w:p w:rsidR="00976DC7" w:rsidRDefault="00976DC7">
      <w:pPr>
        <w:pStyle w:val="Default"/>
        <w:jc w:val="center"/>
        <w:rPr>
          <w:rFonts w:ascii="Times New Roman" w:eastAsiaTheme="minorEastAsia" w:hAnsi="Times New Roman" w:cstheme="minorBidi"/>
          <w:b/>
          <w:color w:val="auto"/>
          <w:kern w:val="2"/>
          <w:sz w:val="44"/>
          <w:szCs w:val="44"/>
        </w:rPr>
      </w:pPr>
    </w:p>
    <w:p w:rsidR="00976DC7" w:rsidRDefault="007922AC">
      <w:pPr>
        <w:pStyle w:val="Default"/>
        <w:jc w:val="center"/>
        <w:rPr>
          <w:rFonts w:ascii="Times New Roman" w:eastAsiaTheme="minorEastAsia" w:hAnsi="Times New Roman" w:cstheme="minorBidi"/>
          <w:b/>
          <w:color w:val="auto"/>
          <w:kern w:val="2"/>
          <w:sz w:val="44"/>
          <w:szCs w:val="44"/>
        </w:rPr>
      </w:pPr>
      <w:r>
        <w:rPr>
          <w:rFonts w:ascii="Times New Roman" w:eastAsiaTheme="minorEastAsia" w:hAnsi="Times New Roman" w:cstheme="minorBidi" w:hint="eastAsia"/>
          <w:b/>
          <w:color w:val="auto"/>
          <w:kern w:val="2"/>
          <w:sz w:val="44"/>
          <w:szCs w:val="44"/>
        </w:rPr>
        <w:t>德惠市人民法院</w:t>
      </w:r>
    </w:p>
    <w:p w:rsidR="00976DC7" w:rsidRDefault="007922AC">
      <w:pPr>
        <w:jc w:val="center"/>
        <w:rPr>
          <w:rFonts w:ascii="Times New Roman" w:hAnsi="Times New Roman"/>
          <w:b/>
          <w:sz w:val="44"/>
          <w:szCs w:val="44"/>
        </w:rPr>
      </w:pPr>
      <w:r>
        <w:rPr>
          <w:rFonts w:ascii="Times New Roman" w:hAnsi="Times New Roman"/>
          <w:b/>
          <w:sz w:val="44"/>
          <w:szCs w:val="44"/>
        </w:rPr>
        <w:t>20</w:t>
      </w:r>
      <w:r>
        <w:rPr>
          <w:rFonts w:ascii="Times New Roman" w:hAnsi="Times New Roman" w:hint="eastAsia"/>
          <w:b/>
          <w:sz w:val="44"/>
          <w:szCs w:val="44"/>
        </w:rPr>
        <w:t>2</w:t>
      </w:r>
      <w:r w:rsidR="0054461F">
        <w:rPr>
          <w:rFonts w:ascii="Times New Roman" w:hAnsi="Times New Roman" w:hint="eastAsia"/>
          <w:b/>
          <w:sz w:val="44"/>
          <w:szCs w:val="44"/>
        </w:rPr>
        <w:t>1</w:t>
      </w:r>
      <w:r>
        <w:rPr>
          <w:rFonts w:ascii="Times New Roman" w:hAnsi="Times New Roman" w:hint="eastAsia"/>
          <w:b/>
          <w:sz w:val="44"/>
          <w:szCs w:val="44"/>
        </w:rPr>
        <w:t>年度</w:t>
      </w:r>
      <w:r>
        <w:rPr>
          <w:rFonts w:ascii="Times New Roman" w:hAnsi="Times New Roman"/>
          <w:b/>
          <w:sz w:val="44"/>
          <w:szCs w:val="44"/>
        </w:rPr>
        <w:t>行政审判运行态势分析报告</w:t>
      </w:r>
    </w:p>
    <w:p w:rsidR="00976DC7" w:rsidRDefault="00976DC7">
      <w:pPr>
        <w:pStyle w:val="Default"/>
        <w:jc w:val="center"/>
        <w:rPr>
          <w:rFonts w:asciiTheme="majorEastAsia" w:eastAsiaTheme="majorEastAsia" w:hAnsiTheme="majorEastAsia"/>
          <w:color w:val="auto"/>
          <w:sz w:val="44"/>
          <w:szCs w:val="44"/>
        </w:rPr>
      </w:pPr>
    </w:p>
    <w:p w:rsidR="00976DC7" w:rsidRDefault="007922AC">
      <w:pPr>
        <w:spacing w:line="560" w:lineRule="exact"/>
        <w:ind w:firstLine="630"/>
        <w:rPr>
          <w:rFonts w:ascii="仿宋" w:eastAsia="仿宋" w:hAnsi="仿宋" w:cs="仿宋_GB2312"/>
          <w:kern w:val="0"/>
          <w:sz w:val="32"/>
          <w:szCs w:val="32"/>
        </w:rPr>
      </w:pPr>
      <w:r>
        <w:rPr>
          <w:rFonts w:ascii="仿宋" w:eastAsia="仿宋" w:hAnsi="仿宋" w:cs="仿宋_GB2312" w:hint="eastAsia"/>
          <w:kern w:val="0"/>
          <w:sz w:val="32"/>
          <w:szCs w:val="32"/>
        </w:rPr>
        <w:t>行政审判是解决行政争议的重要途径，是党在司法领域联系人民群众、实现依法执政的重要方式，在保护人民群众合法权益，监督行政机关依法行政，保证法律统一正确实施等方面发挥着重要作用，对于推进法治国家、法治政府、法治社会建设，促进国家治理体系和治理能力现代化具有重大意义。</w:t>
      </w:r>
      <w:r>
        <w:rPr>
          <w:rFonts w:ascii="仿宋" w:eastAsia="仿宋" w:hAnsi="仿宋" w:cs="仿宋_GB2312"/>
          <w:kern w:val="0"/>
          <w:sz w:val="32"/>
          <w:szCs w:val="32"/>
        </w:rPr>
        <w:t>20</w:t>
      </w:r>
      <w:r>
        <w:rPr>
          <w:rFonts w:ascii="仿宋" w:eastAsia="仿宋" w:hAnsi="仿宋" w:cs="仿宋_GB2312" w:hint="eastAsia"/>
          <w:kern w:val="0"/>
          <w:sz w:val="32"/>
          <w:szCs w:val="32"/>
        </w:rPr>
        <w:t>2</w:t>
      </w:r>
      <w:r w:rsidR="0054461F">
        <w:rPr>
          <w:rFonts w:ascii="仿宋" w:eastAsia="仿宋" w:hAnsi="仿宋" w:cs="仿宋_GB2312" w:hint="eastAsia"/>
          <w:kern w:val="0"/>
          <w:sz w:val="32"/>
          <w:szCs w:val="32"/>
        </w:rPr>
        <w:t>1</w:t>
      </w:r>
      <w:r>
        <w:rPr>
          <w:rFonts w:ascii="仿宋" w:eastAsia="仿宋" w:hAnsi="仿宋" w:cs="仿宋_GB2312" w:hint="eastAsia"/>
          <w:kern w:val="0"/>
          <w:sz w:val="32"/>
          <w:szCs w:val="32"/>
        </w:rPr>
        <w:t>年，行政审判庭在院党组的坚强领导下，坚持司法为民、公正司法，充分发挥行政审判职能，依法妥善化解行政争议，着力解决行政审判突出问题，助力德惠市法治政府、法治社会建设。现就</w:t>
      </w:r>
      <w:r>
        <w:rPr>
          <w:rFonts w:ascii="仿宋" w:eastAsia="仿宋" w:hAnsi="仿宋" w:cs="仿宋_GB2312"/>
          <w:kern w:val="0"/>
          <w:sz w:val="32"/>
          <w:szCs w:val="32"/>
        </w:rPr>
        <w:t>20</w:t>
      </w:r>
      <w:r>
        <w:rPr>
          <w:rFonts w:ascii="仿宋" w:eastAsia="仿宋" w:hAnsi="仿宋" w:cs="仿宋_GB2312" w:hint="eastAsia"/>
          <w:kern w:val="0"/>
          <w:sz w:val="32"/>
          <w:szCs w:val="32"/>
        </w:rPr>
        <w:t>2</w:t>
      </w:r>
      <w:r w:rsidR="0054461F">
        <w:rPr>
          <w:rFonts w:ascii="仿宋" w:eastAsia="仿宋" w:hAnsi="仿宋" w:cs="仿宋_GB2312" w:hint="eastAsia"/>
          <w:kern w:val="0"/>
          <w:sz w:val="32"/>
          <w:szCs w:val="32"/>
        </w:rPr>
        <w:t>1</w:t>
      </w:r>
      <w:r>
        <w:rPr>
          <w:rFonts w:ascii="仿宋" w:eastAsia="仿宋" w:hAnsi="仿宋" w:cs="仿宋_GB2312" w:hint="eastAsia"/>
          <w:kern w:val="0"/>
          <w:sz w:val="32"/>
          <w:szCs w:val="32"/>
        </w:rPr>
        <w:t>年行政审判工作报告</w:t>
      </w:r>
      <w:r>
        <w:rPr>
          <w:rFonts w:ascii="仿宋" w:eastAsia="仿宋" w:hAnsi="仿宋" w:cs="仿宋_GB2312"/>
          <w:kern w:val="0"/>
          <w:sz w:val="32"/>
          <w:szCs w:val="32"/>
        </w:rPr>
        <w:t>如下</w:t>
      </w:r>
      <w:r>
        <w:rPr>
          <w:rFonts w:ascii="仿宋" w:eastAsia="仿宋" w:hAnsi="仿宋" w:cs="仿宋_GB2312" w:hint="eastAsia"/>
          <w:kern w:val="0"/>
          <w:sz w:val="32"/>
          <w:szCs w:val="32"/>
        </w:rPr>
        <w:t>：</w:t>
      </w:r>
    </w:p>
    <w:p w:rsidR="00976DC7" w:rsidRPr="0054461F" w:rsidRDefault="007922AC">
      <w:pPr>
        <w:spacing w:line="560" w:lineRule="exact"/>
        <w:ind w:firstLineChars="200" w:firstLine="640"/>
        <w:rPr>
          <w:rFonts w:ascii="黑体" w:eastAsia="黑体" w:hAnsi="黑体" w:cs="黑体"/>
          <w:color w:val="000000" w:themeColor="text1"/>
          <w:sz w:val="32"/>
          <w:szCs w:val="32"/>
        </w:rPr>
      </w:pPr>
      <w:r w:rsidRPr="0054461F">
        <w:rPr>
          <w:rFonts w:ascii="黑体" w:eastAsia="黑体" w:hAnsi="黑体" w:cs="黑体" w:hint="eastAsia"/>
          <w:color w:val="000000" w:themeColor="text1"/>
          <w:sz w:val="32"/>
          <w:szCs w:val="32"/>
        </w:rPr>
        <w:t>一、收结案情况</w:t>
      </w:r>
      <w:r w:rsidRPr="0054461F">
        <w:rPr>
          <w:rFonts w:ascii="黑体" w:eastAsia="黑体" w:hAnsi="黑体" w:cs="黑体"/>
          <w:color w:val="000000" w:themeColor="text1"/>
          <w:sz w:val="32"/>
          <w:szCs w:val="32"/>
        </w:rPr>
        <w:t xml:space="preserve"> </w:t>
      </w:r>
    </w:p>
    <w:p w:rsidR="00976DC7" w:rsidRDefault="007922AC">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仿宋_GB2312" w:hint="eastAsia"/>
          <w:color w:val="auto"/>
          <w:sz w:val="32"/>
          <w:szCs w:val="32"/>
        </w:rPr>
        <w:t>截至</w:t>
      </w:r>
      <w:r>
        <w:rPr>
          <w:rFonts w:ascii="仿宋" w:eastAsia="仿宋" w:hAnsi="仿宋" w:cs="仿宋_GB2312"/>
          <w:color w:val="auto"/>
          <w:sz w:val="32"/>
          <w:szCs w:val="32"/>
        </w:rPr>
        <w:t>20</w:t>
      </w:r>
      <w:r>
        <w:rPr>
          <w:rFonts w:ascii="仿宋" w:eastAsia="仿宋" w:hAnsi="仿宋" w:cs="仿宋_GB2312" w:hint="eastAsia"/>
          <w:color w:val="auto"/>
          <w:sz w:val="32"/>
          <w:szCs w:val="32"/>
        </w:rPr>
        <w:t>2</w:t>
      </w:r>
      <w:r w:rsidR="0054461F">
        <w:rPr>
          <w:rFonts w:ascii="仿宋" w:eastAsia="仿宋" w:hAnsi="仿宋" w:cs="仿宋_GB2312" w:hint="eastAsia"/>
          <w:color w:val="auto"/>
          <w:sz w:val="32"/>
          <w:szCs w:val="32"/>
        </w:rPr>
        <w:t>1</w:t>
      </w:r>
      <w:r>
        <w:rPr>
          <w:rFonts w:ascii="仿宋" w:eastAsia="仿宋" w:hAnsi="仿宋" w:cs="仿宋_GB2312" w:hint="eastAsia"/>
          <w:color w:val="auto"/>
          <w:sz w:val="32"/>
          <w:szCs w:val="32"/>
        </w:rPr>
        <w:t>年</w:t>
      </w:r>
      <w:r>
        <w:rPr>
          <w:rFonts w:ascii="仿宋" w:eastAsia="仿宋" w:hAnsi="仿宋" w:cs="仿宋_GB2312"/>
          <w:color w:val="auto"/>
          <w:sz w:val="32"/>
          <w:szCs w:val="32"/>
        </w:rPr>
        <w:t>12</w:t>
      </w:r>
      <w:r>
        <w:rPr>
          <w:rFonts w:ascii="仿宋" w:eastAsia="仿宋" w:hAnsi="仿宋" w:cs="仿宋_GB2312" w:hint="eastAsia"/>
          <w:color w:val="auto"/>
          <w:sz w:val="32"/>
          <w:szCs w:val="32"/>
        </w:rPr>
        <w:t>月</w:t>
      </w:r>
      <w:r>
        <w:rPr>
          <w:rFonts w:ascii="仿宋" w:eastAsia="仿宋" w:hAnsi="仿宋" w:cs="仿宋_GB2312"/>
          <w:color w:val="auto"/>
          <w:sz w:val="32"/>
          <w:szCs w:val="32"/>
        </w:rPr>
        <w:t>31</w:t>
      </w:r>
      <w:r>
        <w:rPr>
          <w:rFonts w:ascii="仿宋" w:eastAsia="仿宋" w:hAnsi="仿宋" w:cs="仿宋_GB2312" w:hint="eastAsia"/>
          <w:color w:val="auto"/>
          <w:sz w:val="32"/>
          <w:szCs w:val="32"/>
        </w:rPr>
        <w:t>日，德惠市人民法院行政审判庭共审理各类行政案件</w:t>
      </w:r>
      <w:r w:rsidR="0054461F">
        <w:rPr>
          <w:rFonts w:ascii="仿宋" w:eastAsia="仿宋" w:hAnsi="仿宋" w:cs="仿宋_GB2312" w:hint="eastAsia"/>
          <w:color w:val="auto"/>
          <w:sz w:val="32"/>
          <w:szCs w:val="32"/>
        </w:rPr>
        <w:t>66</w:t>
      </w:r>
      <w:r>
        <w:rPr>
          <w:rFonts w:ascii="仿宋" w:eastAsia="仿宋" w:hAnsi="仿宋" w:cs="仿宋_GB2312" w:hint="eastAsia"/>
          <w:color w:val="auto"/>
          <w:sz w:val="32"/>
          <w:szCs w:val="32"/>
        </w:rPr>
        <w:t>件，同比减</w:t>
      </w:r>
      <w:r w:rsidRPr="007B0C1D">
        <w:rPr>
          <w:rFonts w:ascii="仿宋" w:eastAsia="仿宋" w:hAnsi="仿宋" w:cs="仿宋_GB2312" w:hint="eastAsia"/>
          <w:color w:val="000000" w:themeColor="text1"/>
          <w:sz w:val="32"/>
          <w:szCs w:val="32"/>
        </w:rPr>
        <w:t>少</w:t>
      </w:r>
      <w:r w:rsidR="007B0C1D" w:rsidRPr="007B0C1D">
        <w:rPr>
          <w:rFonts w:ascii="仿宋" w:eastAsia="仿宋" w:hAnsi="仿宋" w:cs="仿宋_GB2312" w:hint="eastAsia"/>
          <w:color w:val="000000" w:themeColor="text1"/>
          <w:sz w:val="32"/>
          <w:szCs w:val="32"/>
        </w:rPr>
        <w:t>30.53</w:t>
      </w:r>
      <w:r w:rsidRPr="007B0C1D">
        <w:rPr>
          <w:rFonts w:ascii="仿宋" w:eastAsia="仿宋" w:hAnsi="仿宋" w:cs="仿宋_GB2312" w:hint="eastAsia"/>
          <w:color w:val="000000" w:themeColor="text1"/>
          <w:sz w:val="32"/>
          <w:szCs w:val="32"/>
        </w:rPr>
        <w:t>%。</w:t>
      </w:r>
    </w:p>
    <w:p w:rsidR="00976DC7" w:rsidRPr="00F8562D" w:rsidRDefault="007922AC">
      <w:pPr>
        <w:pStyle w:val="Default"/>
        <w:spacing w:line="560" w:lineRule="exact"/>
        <w:ind w:firstLineChars="200" w:firstLine="640"/>
        <w:jc w:val="both"/>
        <w:rPr>
          <w:rFonts w:ascii="仿宋" w:eastAsia="仿宋" w:hAnsi="仿宋" w:cs="仿宋_GB2312"/>
          <w:color w:val="000000" w:themeColor="text1"/>
          <w:sz w:val="32"/>
          <w:szCs w:val="32"/>
        </w:rPr>
      </w:pPr>
      <w:r>
        <w:rPr>
          <w:rFonts w:ascii="仿宋" w:eastAsia="仿宋" w:hAnsi="仿宋" w:cs="仿宋_GB2312" w:hint="eastAsia"/>
          <w:color w:val="auto"/>
          <w:sz w:val="32"/>
          <w:szCs w:val="32"/>
        </w:rPr>
        <w:t>新收行政诉讼案件</w:t>
      </w:r>
      <w:r w:rsidR="0054461F">
        <w:rPr>
          <w:rFonts w:ascii="仿宋" w:eastAsia="仿宋" w:hAnsi="仿宋" w:cs="仿宋_GB2312" w:hint="eastAsia"/>
          <w:color w:val="auto"/>
          <w:sz w:val="32"/>
          <w:szCs w:val="32"/>
        </w:rPr>
        <w:t>26</w:t>
      </w:r>
      <w:r>
        <w:rPr>
          <w:rFonts w:ascii="仿宋" w:eastAsia="仿宋" w:hAnsi="仿宋" w:cs="仿宋_GB2312" w:hint="eastAsia"/>
          <w:color w:val="auto"/>
          <w:sz w:val="32"/>
          <w:szCs w:val="32"/>
        </w:rPr>
        <w:t>件，</w:t>
      </w:r>
      <w:r w:rsidRPr="007B0C1D">
        <w:rPr>
          <w:rFonts w:ascii="仿宋" w:eastAsia="仿宋" w:hAnsi="仿宋" w:cs="仿宋_GB2312" w:hint="eastAsia"/>
          <w:color w:val="000000" w:themeColor="text1"/>
          <w:sz w:val="32"/>
          <w:szCs w:val="32"/>
        </w:rPr>
        <w:t>同比减少</w:t>
      </w:r>
      <w:r w:rsidR="007B0C1D" w:rsidRPr="007B0C1D">
        <w:rPr>
          <w:rFonts w:ascii="仿宋" w:eastAsia="仿宋" w:hAnsi="仿宋" w:cs="仿宋_GB2312" w:hint="eastAsia"/>
          <w:color w:val="000000" w:themeColor="text1"/>
          <w:sz w:val="32"/>
          <w:szCs w:val="32"/>
        </w:rPr>
        <w:t>33.33</w:t>
      </w:r>
      <w:r w:rsidRPr="007B0C1D">
        <w:rPr>
          <w:rFonts w:ascii="仿宋" w:eastAsia="仿宋" w:hAnsi="仿宋" w:cs="仿宋_GB2312" w:hint="eastAsia"/>
          <w:color w:val="000000" w:themeColor="text1"/>
          <w:sz w:val="32"/>
          <w:szCs w:val="32"/>
        </w:rPr>
        <w:t>。</w:t>
      </w:r>
      <w:r w:rsidRPr="00F8562D">
        <w:rPr>
          <w:rFonts w:ascii="仿宋" w:eastAsia="仿宋" w:hAnsi="仿宋" w:cs="仿宋_GB2312" w:hint="eastAsia"/>
          <w:color w:val="000000" w:themeColor="text1"/>
          <w:sz w:val="32"/>
          <w:szCs w:val="32"/>
        </w:rPr>
        <w:t>其中实体判决1</w:t>
      </w:r>
      <w:r w:rsidR="00F8562D" w:rsidRPr="00F8562D">
        <w:rPr>
          <w:rFonts w:ascii="仿宋" w:eastAsia="仿宋" w:hAnsi="仿宋" w:cs="仿宋_GB2312" w:hint="eastAsia"/>
          <w:color w:val="000000" w:themeColor="text1"/>
          <w:sz w:val="32"/>
          <w:szCs w:val="32"/>
        </w:rPr>
        <w:t>7</w:t>
      </w:r>
      <w:r w:rsidRPr="00F8562D">
        <w:rPr>
          <w:rFonts w:ascii="仿宋" w:eastAsia="仿宋" w:hAnsi="仿宋" w:cs="仿宋_GB2312" w:hint="eastAsia"/>
          <w:color w:val="000000" w:themeColor="text1"/>
          <w:sz w:val="32"/>
          <w:szCs w:val="32"/>
        </w:rPr>
        <w:t>件，驳回起诉</w:t>
      </w:r>
      <w:r w:rsidR="00F8562D" w:rsidRPr="00F8562D">
        <w:rPr>
          <w:rFonts w:ascii="仿宋" w:eastAsia="仿宋" w:hAnsi="仿宋" w:cs="仿宋_GB2312" w:hint="eastAsia"/>
          <w:color w:val="000000" w:themeColor="text1"/>
          <w:sz w:val="32"/>
          <w:szCs w:val="32"/>
        </w:rPr>
        <w:t>2</w:t>
      </w:r>
      <w:r w:rsidRPr="00F8562D">
        <w:rPr>
          <w:rFonts w:ascii="仿宋" w:eastAsia="仿宋" w:hAnsi="仿宋" w:cs="仿宋_GB2312" w:hint="eastAsia"/>
          <w:color w:val="000000" w:themeColor="text1"/>
          <w:sz w:val="32"/>
          <w:szCs w:val="32"/>
        </w:rPr>
        <w:t>件，裁定准予撤诉</w:t>
      </w:r>
      <w:r w:rsidR="00F8562D" w:rsidRPr="00F8562D">
        <w:rPr>
          <w:rFonts w:ascii="仿宋" w:eastAsia="仿宋" w:hAnsi="仿宋" w:cs="仿宋_GB2312" w:hint="eastAsia"/>
          <w:color w:val="000000" w:themeColor="text1"/>
          <w:sz w:val="32"/>
          <w:szCs w:val="32"/>
        </w:rPr>
        <w:t>1</w:t>
      </w:r>
      <w:r w:rsidRPr="00F8562D">
        <w:rPr>
          <w:rFonts w:ascii="仿宋" w:eastAsia="仿宋" w:hAnsi="仿宋" w:cs="仿宋_GB2312" w:hint="eastAsia"/>
          <w:color w:val="000000" w:themeColor="text1"/>
          <w:sz w:val="32"/>
          <w:szCs w:val="32"/>
        </w:rPr>
        <w:t>件，不予立案</w:t>
      </w:r>
      <w:r w:rsidR="00F8562D" w:rsidRPr="00F8562D">
        <w:rPr>
          <w:rFonts w:ascii="仿宋" w:eastAsia="仿宋" w:hAnsi="仿宋" w:cs="仿宋_GB2312" w:hint="eastAsia"/>
          <w:color w:val="000000" w:themeColor="text1"/>
          <w:sz w:val="32"/>
          <w:szCs w:val="32"/>
        </w:rPr>
        <w:t>6</w:t>
      </w:r>
      <w:r w:rsidRPr="00F8562D">
        <w:rPr>
          <w:rFonts w:ascii="仿宋" w:eastAsia="仿宋" w:hAnsi="仿宋" w:cs="仿宋_GB2312" w:hint="eastAsia"/>
          <w:color w:val="000000" w:themeColor="text1"/>
          <w:sz w:val="32"/>
          <w:szCs w:val="32"/>
        </w:rPr>
        <w:t>件。</w:t>
      </w:r>
    </w:p>
    <w:p w:rsidR="00976DC7" w:rsidRDefault="007922AC">
      <w:pPr>
        <w:pStyle w:val="Default"/>
        <w:spacing w:line="560" w:lineRule="exact"/>
        <w:ind w:firstLineChars="200" w:firstLine="640"/>
        <w:jc w:val="both"/>
        <w:rPr>
          <w:rFonts w:ascii="仿宋" w:eastAsia="仿宋" w:hAnsi="仿宋" w:cs="仿宋_GB2312"/>
          <w:color w:val="auto"/>
          <w:sz w:val="32"/>
          <w:szCs w:val="32"/>
        </w:rPr>
      </w:pPr>
      <w:r w:rsidRPr="00F8562D">
        <w:rPr>
          <w:rFonts w:ascii="仿宋" w:eastAsia="仿宋" w:hAnsi="仿宋" w:cs="仿宋_GB2312" w:hint="eastAsia"/>
          <w:color w:val="000000" w:themeColor="text1"/>
          <w:sz w:val="32"/>
          <w:szCs w:val="32"/>
        </w:rPr>
        <w:t>新收非诉行政执行案件</w:t>
      </w:r>
      <w:r w:rsidR="0054461F" w:rsidRPr="00F8562D">
        <w:rPr>
          <w:rFonts w:ascii="仿宋" w:eastAsia="仿宋" w:hAnsi="仿宋" w:cs="仿宋_GB2312" w:hint="eastAsia"/>
          <w:color w:val="000000" w:themeColor="text1"/>
          <w:sz w:val="32"/>
          <w:szCs w:val="32"/>
        </w:rPr>
        <w:t>40</w:t>
      </w:r>
      <w:r w:rsidRPr="00F8562D">
        <w:rPr>
          <w:rFonts w:ascii="仿宋" w:eastAsia="仿宋" w:hAnsi="仿宋" w:cs="仿宋_GB2312" w:hint="eastAsia"/>
          <w:color w:val="000000" w:themeColor="text1"/>
          <w:sz w:val="32"/>
          <w:szCs w:val="32"/>
        </w:rPr>
        <w:t>件，同比减少</w:t>
      </w:r>
      <w:r w:rsidR="007B0C1D" w:rsidRPr="00F8562D">
        <w:rPr>
          <w:rFonts w:ascii="仿宋" w:eastAsia="仿宋" w:hAnsi="仿宋" w:cs="仿宋_GB2312" w:hint="eastAsia"/>
          <w:color w:val="000000" w:themeColor="text1"/>
          <w:sz w:val="32"/>
          <w:szCs w:val="32"/>
        </w:rPr>
        <w:t>28.57</w:t>
      </w:r>
      <w:r w:rsidRPr="00F8562D">
        <w:rPr>
          <w:rFonts w:ascii="仿宋" w:eastAsia="仿宋" w:hAnsi="仿宋" w:cs="仿宋_GB2312" w:hint="eastAsia"/>
          <w:color w:val="000000" w:themeColor="text1"/>
          <w:sz w:val="32"/>
          <w:szCs w:val="32"/>
        </w:rPr>
        <w:t>%。其中裁定准予执行</w:t>
      </w:r>
      <w:r w:rsidR="007B0C1D" w:rsidRPr="00F8562D">
        <w:rPr>
          <w:rFonts w:ascii="仿宋" w:eastAsia="仿宋" w:hAnsi="仿宋" w:cs="仿宋_GB2312" w:hint="eastAsia"/>
          <w:color w:val="000000" w:themeColor="text1"/>
          <w:sz w:val="32"/>
          <w:szCs w:val="32"/>
        </w:rPr>
        <w:t>26</w:t>
      </w:r>
      <w:r w:rsidRPr="00F8562D">
        <w:rPr>
          <w:rFonts w:ascii="仿宋" w:eastAsia="仿宋" w:hAnsi="仿宋" w:cs="仿宋_GB2312" w:hint="eastAsia"/>
          <w:color w:val="000000" w:themeColor="text1"/>
          <w:sz w:val="32"/>
          <w:szCs w:val="32"/>
        </w:rPr>
        <w:t>件，不予执行</w:t>
      </w:r>
      <w:r w:rsidR="007B0C1D" w:rsidRPr="00F8562D">
        <w:rPr>
          <w:rFonts w:ascii="仿宋" w:eastAsia="仿宋" w:hAnsi="仿宋" w:cs="仿宋_GB2312" w:hint="eastAsia"/>
          <w:color w:val="000000" w:themeColor="text1"/>
          <w:sz w:val="32"/>
          <w:szCs w:val="32"/>
        </w:rPr>
        <w:t>6</w:t>
      </w:r>
      <w:r w:rsidRPr="00F8562D">
        <w:rPr>
          <w:rFonts w:ascii="仿宋" w:eastAsia="仿宋" w:hAnsi="仿宋" w:cs="仿宋_GB2312" w:hint="eastAsia"/>
          <w:color w:val="000000" w:themeColor="text1"/>
          <w:sz w:val="32"/>
          <w:szCs w:val="32"/>
        </w:rPr>
        <w:t>件，撤回执行申请</w:t>
      </w:r>
      <w:r w:rsidR="00F8562D" w:rsidRPr="00F8562D">
        <w:rPr>
          <w:rFonts w:ascii="仿宋" w:eastAsia="仿宋" w:hAnsi="仿宋" w:cs="仿宋_GB2312" w:hint="eastAsia"/>
          <w:color w:val="000000" w:themeColor="text1"/>
          <w:sz w:val="32"/>
          <w:szCs w:val="32"/>
        </w:rPr>
        <w:t>8</w:t>
      </w:r>
      <w:r w:rsidRPr="00F8562D">
        <w:rPr>
          <w:rFonts w:ascii="仿宋" w:eastAsia="仿宋" w:hAnsi="仿宋" w:cs="仿宋_GB2312" w:hint="eastAsia"/>
          <w:color w:val="000000" w:themeColor="text1"/>
          <w:sz w:val="32"/>
          <w:szCs w:val="32"/>
        </w:rPr>
        <w:t>件。</w:t>
      </w:r>
      <w:r>
        <w:rPr>
          <w:rFonts w:ascii="仿宋" w:eastAsia="仿宋" w:hAnsi="仿宋" w:cs="仿宋_GB2312"/>
          <w:color w:val="auto"/>
          <w:sz w:val="32"/>
          <w:szCs w:val="32"/>
        </w:rPr>
        <w:t xml:space="preserve"> </w:t>
      </w:r>
    </w:p>
    <w:p w:rsidR="00976DC7" w:rsidRDefault="007922AC">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仿宋_GB2312" w:hint="eastAsia"/>
          <w:color w:val="auto"/>
          <w:sz w:val="32"/>
          <w:szCs w:val="32"/>
        </w:rPr>
        <w:t>202</w:t>
      </w:r>
      <w:r w:rsidR="0054461F">
        <w:rPr>
          <w:rFonts w:ascii="仿宋" w:eastAsia="仿宋" w:hAnsi="仿宋" w:cs="仿宋_GB2312" w:hint="eastAsia"/>
          <w:color w:val="auto"/>
          <w:sz w:val="32"/>
          <w:szCs w:val="32"/>
        </w:rPr>
        <w:t>1</w:t>
      </w:r>
      <w:r>
        <w:rPr>
          <w:rFonts w:ascii="仿宋" w:eastAsia="仿宋" w:hAnsi="仿宋" w:cs="仿宋_GB2312" w:hint="eastAsia"/>
          <w:color w:val="auto"/>
          <w:sz w:val="32"/>
          <w:szCs w:val="32"/>
        </w:rPr>
        <w:t>年新收案件大幅下降，成功化解行政争议案件</w:t>
      </w:r>
      <w:r w:rsidR="00756FB9" w:rsidRPr="00756FB9">
        <w:rPr>
          <w:rFonts w:ascii="仿宋" w:eastAsia="仿宋" w:hAnsi="仿宋" w:cs="仿宋_GB2312" w:hint="eastAsia"/>
          <w:color w:val="000000" w:themeColor="text1"/>
          <w:sz w:val="32"/>
          <w:szCs w:val="32"/>
        </w:rPr>
        <w:t>31</w:t>
      </w:r>
      <w:r>
        <w:rPr>
          <w:rFonts w:ascii="仿宋" w:eastAsia="仿宋" w:hAnsi="仿宋" w:cs="仿宋_GB2312" w:hint="eastAsia"/>
          <w:color w:val="auto"/>
          <w:sz w:val="32"/>
          <w:szCs w:val="32"/>
        </w:rPr>
        <w:t>件, 进一步从源头上预防和化解了行政争议。诉源治理效果显著，完成了新收案件</w:t>
      </w:r>
      <w:r>
        <w:rPr>
          <w:rFonts w:ascii="仿宋" w:eastAsia="仿宋" w:hAnsi="仿宋" w:cs="仿宋_GB2312"/>
          <w:color w:val="auto"/>
          <w:sz w:val="32"/>
          <w:szCs w:val="32"/>
        </w:rPr>
        <w:t>同比下降5%的指标任务要求</w:t>
      </w:r>
      <w:r>
        <w:rPr>
          <w:rFonts w:ascii="仿宋" w:eastAsia="仿宋" w:hAnsi="仿宋" w:cs="仿宋_GB2312" w:hint="eastAsia"/>
          <w:color w:val="auto"/>
          <w:sz w:val="32"/>
          <w:szCs w:val="32"/>
        </w:rPr>
        <w:t>。</w:t>
      </w:r>
      <w:r w:rsidR="0054461F">
        <w:rPr>
          <w:rFonts w:ascii="仿宋" w:eastAsia="仿宋" w:hAnsi="仿宋" w:cs="仿宋_GB2312" w:hint="eastAsia"/>
          <w:color w:val="auto"/>
          <w:sz w:val="32"/>
          <w:szCs w:val="32"/>
        </w:rPr>
        <w:t>完成了</w:t>
      </w:r>
      <w:r>
        <w:rPr>
          <w:rFonts w:ascii="仿宋" w:eastAsia="仿宋" w:hAnsi="仿宋" w:cs="仿宋_GB2312"/>
          <w:color w:val="auto"/>
          <w:sz w:val="32"/>
          <w:szCs w:val="32"/>
        </w:rPr>
        <w:t>基层法院受理非诉执行审查案件数量控制在50件以下的指标要求</w:t>
      </w:r>
      <w:r w:rsidR="0054461F">
        <w:rPr>
          <w:rFonts w:ascii="仿宋" w:eastAsia="仿宋" w:hAnsi="仿宋" w:cs="仿宋_GB2312" w:hint="eastAsia"/>
          <w:color w:val="auto"/>
          <w:sz w:val="32"/>
          <w:szCs w:val="32"/>
        </w:rPr>
        <w:t>，</w:t>
      </w:r>
      <w:r>
        <w:rPr>
          <w:rFonts w:ascii="仿宋" w:eastAsia="仿宋" w:hAnsi="仿宋" w:cs="仿宋_GB2312" w:hint="eastAsia"/>
          <w:color w:val="auto"/>
          <w:sz w:val="32"/>
          <w:szCs w:val="32"/>
        </w:rPr>
        <w:lastRenderedPageBreak/>
        <w:t>完成省、市院制定的目标任务。今年，诉源治理仍是重点工作，工作压力依旧巨大，要加强与市政府及相关部门加强沟通、协调，在保证市政建设等各项事业顺利进行的前提下，争取完成工作指标任务。</w:t>
      </w:r>
    </w:p>
    <w:p w:rsidR="00976DC7" w:rsidRPr="00801FD7" w:rsidRDefault="007922AC">
      <w:pPr>
        <w:spacing w:line="560" w:lineRule="exact"/>
        <w:ind w:firstLineChars="196" w:firstLine="627"/>
        <w:rPr>
          <w:rFonts w:ascii="黑体" w:eastAsia="黑体" w:hAnsi="黑体" w:cs="黑体"/>
          <w:color w:val="000000" w:themeColor="text1"/>
          <w:sz w:val="32"/>
          <w:szCs w:val="32"/>
        </w:rPr>
      </w:pPr>
      <w:r w:rsidRPr="00801FD7">
        <w:rPr>
          <w:rFonts w:ascii="黑体" w:eastAsia="黑体" w:hAnsi="黑体" w:cs="黑体" w:hint="eastAsia"/>
          <w:color w:val="000000" w:themeColor="text1"/>
          <w:sz w:val="32"/>
          <w:szCs w:val="32"/>
        </w:rPr>
        <w:t>二、案件基本情况及主要特点</w:t>
      </w:r>
    </w:p>
    <w:p w:rsidR="00976DC7" w:rsidRPr="00801FD7" w:rsidRDefault="007922AC" w:rsidP="00801FD7">
      <w:pPr>
        <w:spacing w:line="560" w:lineRule="exact"/>
        <w:ind w:firstLineChars="200" w:firstLine="643"/>
        <w:rPr>
          <w:rFonts w:ascii="楷体" w:eastAsia="楷体" w:hAnsi="楷体" w:cs="Times New Roman"/>
          <w:b/>
          <w:color w:val="000000" w:themeColor="text1"/>
          <w:sz w:val="32"/>
          <w:szCs w:val="32"/>
        </w:rPr>
      </w:pPr>
      <w:r w:rsidRPr="00801FD7">
        <w:rPr>
          <w:rFonts w:ascii="楷体" w:eastAsia="楷体" w:hAnsi="楷体" w:cs="Times New Roman" w:hint="eastAsia"/>
          <w:b/>
          <w:color w:val="000000" w:themeColor="text1"/>
          <w:sz w:val="32"/>
          <w:szCs w:val="32"/>
        </w:rPr>
        <w:t>（一）行政案件涉及行政管理领域广泛</w:t>
      </w:r>
    </w:p>
    <w:p w:rsidR="00976DC7" w:rsidRPr="00801FD7" w:rsidRDefault="007922AC">
      <w:pPr>
        <w:spacing w:line="560" w:lineRule="exact"/>
        <w:ind w:firstLineChars="200" w:firstLine="640"/>
        <w:rPr>
          <w:rFonts w:ascii="仿宋" w:eastAsia="仿宋" w:hAnsi="仿宋" w:cs="仿宋_GB2312"/>
          <w:color w:val="000000" w:themeColor="text1"/>
          <w:kern w:val="0"/>
          <w:sz w:val="32"/>
          <w:szCs w:val="32"/>
        </w:rPr>
      </w:pPr>
      <w:r w:rsidRPr="00801FD7">
        <w:rPr>
          <w:rFonts w:ascii="仿宋" w:eastAsia="仿宋" w:hAnsi="仿宋" w:cs="仿宋_GB2312" w:hint="eastAsia"/>
          <w:color w:val="000000" w:themeColor="text1"/>
          <w:kern w:val="0"/>
          <w:sz w:val="32"/>
          <w:szCs w:val="32"/>
        </w:rPr>
        <w:t>德惠法院审理的行政案件涉及</w:t>
      </w:r>
      <w:r w:rsidRPr="00801FD7">
        <w:rPr>
          <w:rFonts w:ascii="仿宋" w:eastAsia="仿宋" w:hAnsi="仿宋" w:cs="Times New Roman" w:hint="eastAsia"/>
          <w:color w:val="000000" w:themeColor="text1"/>
          <w:kern w:val="0"/>
          <w:sz w:val="32"/>
          <w:szCs w:val="32"/>
        </w:rPr>
        <w:t>众多</w:t>
      </w:r>
      <w:r w:rsidRPr="00801FD7">
        <w:rPr>
          <w:rFonts w:ascii="仿宋" w:eastAsia="仿宋" w:hAnsi="仿宋" w:cs="仿宋_GB2312" w:hint="eastAsia"/>
          <w:color w:val="000000" w:themeColor="text1"/>
          <w:kern w:val="0"/>
          <w:sz w:val="32"/>
          <w:szCs w:val="32"/>
        </w:rPr>
        <w:t>行政管理领域。主要为公安、自然资源、城乡建设、道路运输</w:t>
      </w:r>
      <w:r w:rsidR="001D72CC" w:rsidRPr="00801FD7">
        <w:rPr>
          <w:rFonts w:ascii="仿宋" w:eastAsia="仿宋" w:hAnsi="仿宋" w:cs="仿宋_GB2312" w:hint="eastAsia"/>
          <w:color w:val="000000" w:themeColor="text1"/>
          <w:kern w:val="0"/>
          <w:sz w:val="32"/>
          <w:szCs w:val="32"/>
        </w:rPr>
        <w:t>、</w:t>
      </w:r>
      <w:r w:rsidR="00801FD7" w:rsidRPr="00801FD7">
        <w:rPr>
          <w:rFonts w:ascii="仿宋" w:eastAsia="仿宋" w:hAnsi="仿宋" w:cs="仿宋_GB2312" w:hint="eastAsia"/>
          <w:color w:val="000000" w:themeColor="text1"/>
          <w:kern w:val="0"/>
          <w:sz w:val="32"/>
          <w:szCs w:val="32"/>
        </w:rPr>
        <w:t>劳动和社会保障、</w:t>
      </w:r>
      <w:r w:rsidR="001D72CC" w:rsidRPr="00801FD7">
        <w:rPr>
          <w:rFonts w:ascii="仿宋" w:eastAsia="仿宋" w:hAnsi="仿宋" w:cs="仿宋_GB2312" w:hint="eastAsia"/>
          <w:color w:val="000000" w:themeColor="text1"/>
          <w:kern w:val="0"/>
          <w:sz w:val="32"/>
          <w:szCs w:val="32"/>
        </w:rPr>
        <w:t>消防安全</w:t>
      </w:r>
      <w:r w:rsidRPr="00801FD7">
        <w:rPr>
          <w:rFonts w:ascii="仿宋" w:eastAsia="仿宋" w:hAnsi="仿宋" w:cs="仿宋_GB2312" w:hint="eastAsia"/>
          <w:color w:val="000000" w:themeColor="text1"/>
          <w:kern w:val="0"/>
          <w:sz w:val="32"/>
          <w:szCs w:val="32"/>
        </w:rPr>
        <w:t>等领域。</w:t>
      </w:r>
    </w:p>
    <w:p w:rsidR="00976DC7" w:rsidRDefault="007922AC">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(二)行政案件涉及行政管理职能相对集中</w:t>
      </w:r>
    </w:p>
    <w:p w:rsidR="00976DC7" w:rsidRDefault="007922AC">
      <w:pPr>
        <w:spacing w:line="560" w:lineRule="exact"/>
        <w:ind w:firstLineChars="200" w:firstLine="640"/>
        <w:rPr>
          <w:rFonts w:ascii="仿宋" w:eastAsia="仿宋" w:hAnsi="仿宋" w:cs="楷体_GB2312"/>
          <w:kern w:val="0"/>
          <w:sz w:val="32"/>
          <w:szCs w:val="32"/>
        </w:rPr>
      </w:pPr>
      <w:r>
        <w:rPr>
          <w:rFonts w:ascii="仿宋" w:eastAsia="仿宋" w:hAnsi="仿宋" w:cs="仿宋_GB2312" w:hint="eastAsia"/>
          <w:kern w:val="0"/>
          <w:sz w:val="32"/>
          <w:szCs w:val="32"/>
        </w:rPr>
        <w:t>其中公安行政管理主要体现为治安、道路交通运输管理；资源行政管理主要为土地行政管理；城乡建设行政管理主要为房屋拆迁管理；道路运输行政管理主要为公路交通管理。</w:t>
      </w:r>
      <w:r>
        <w:rPr>
          <w:rFonts w:ascii="仿宋" w:eastAsia="仿宋" w:hAnsi="仿宋" w:cs="Times New Roman" w:hint="eastAsia"/>
          <w:kern w:val="0"/>
          <w:sz w:val="32"/>
          <w:szCs w:val="32"/>
        </w:rPr>
        <w:t>在多个</w:t>
      </w:r>
      <w:r>
        <w:rPr>
          <w:rFonts w:ascii="仿宋" w:eastAsia="仿宋" w:hAnsi="仿宋" w:cs="仿宋_GB2312" w:hint="eastAsia"/>
          <w:kern w:val="0"/>
          <w:sz w:val="32"/>
          <w:szCs w:val="32"/>
        </w:rPr>
        <w:t>行政管理领域中，公安行政管理领域</w:t>
      </w:r>
      <w:r w:rsidR="00E538B6">
        <w:rPr>
          <w:rFonts w:ascii="仿宋" w:eastAsia="仿宋" w:hAnsi="仿宋" w:cs="仿宋_GB2312" w:hint="eastAsia"/>
          <w:kern w:val="0"/>
          <w:sz w:val="32"/>
          <w:szCs w:val="32"/>
        </w:rPr>
        <w:t>案件</w:t>
      </w:r>
      <w:r>
        <w:rPr>
          <w:rFonts w:ascii="仿宋" w:eastAsia="仿宋" w:hAnsi="仿宋" w:cs="仿宋_GB2312" w:hint="eastAsia"/>
          <w:kern w:val="0"/>
          <w:sz w:val="32"/>
          <w:szCs w:val="32"/>
        </w:rPr>
        <w:t>占诉讼案件总数的</w:t>
      </w:r>
      <w:r w:rsidR="00E538B6">
        <w:rPr>
          <w:rFonts w:ascii="仿宋" w:eastAsia="仿宋" w:hAnsi="仿宋" w:cs="Times New Roman" w:hint="eastAsia"/>
          <w:kern w:val="0"/>
          <w:sz w:val="32"/>
          <w:szCs w:val="32"/>
        </w:rPr>
        <w:t>6</w:t>
      </w:r>
      <w:r>
        <w:rPr>
          <w:rFonts w:ascii="仿宋" w:eastAsia="仿宋" w:hAnsi="仿宋" w:cs="Times New Roman"/>
          <w:kern w:val="0"/>
          <w:sz w:val="32"/>
          <w:szCs w:val="32"/>
        </w:rPr>
        <w:t>0</w:t>
      </w:r>
      <w:r>
        <w:rPr>
          <w:rFonts w:ascii="仿宋" w:eastAsia="仿宋" w:hAnsi="仿宋" w:cs="Times New Roman" w:hint="eastAsia"/>
          <w:kern w:val="0"/>
          <w:sz w:val="32"/>
          <w:szCs w:val="32"/>
        </w:rPr>
        <w:t>%</w:t>
      </w:r>
      <w:r>
        <w:rPr>
          <w:rFonts w:ascii="仿宋" w:eastAsia="仿宋" w:hAnsi="仿宋" w:cs="仿宋_GB2312" w:hint="eastAsia"/>
          <w:kern w:val="0"/>
          <w:sz w:val="32"/>
          <w:szCs w:val="32"/>
        </w:rPr>
        <w:t>。</w:t>
      </w:r>
      <w:r w:rsidR="00D71ADA">
        <w:rPr>
          <w:rFonts w:ascii="仿宋" w:eastAsia="仿宋" w:hAnsi="仿宋" w:cs="仿宋_GB2312" w:hint="eastAsia"/>
          <w:kern w:val="0"/>
          <w:sz w:val="32"/>
          <w:szCs w:val="32"/>
        </w:rPr>
        <w:t>在非诉执行案件中，管理职能更是主要集中在土地、公路交通、劳动和社会保障方面。其中</w:t>
      </w:r>
      <w:r>
        <w:rPr>
          <w:rFonts w:ascii="仿宋" w:eastAsia="仿宋" w:hAnsi="仿宋" w:cs="仿宋_GB2312" w:hint="eastAsia"/>
          <w:kern w:val="0"/>
          <w:sz w:val="32"/>
          <w:szCs w:val="32"/>
        </w:rPr>
        <w:t>土地行政处罚</w:t>
      </w:r>
      <w:r w:rsidR="00616CF9">
        <w:rPr>
          <w:rFonts w:ascii="仿宋" w:eastAsia="仿宋" w:hAnsi="仿宋" w:cs="仿宋_GB2312" w:hint="eastAsia"/>
          <w:kern w:val="0"/>
          <w:sz w:val="32"/>
          <w:szCs w:val="32"/>
        </w:rPr>
        <w:t>案件</w:t>
      </w:r>
      <w:r>
        <w:rPr>
          <w:rFonts w:ascii="仿宋" w:eastAsia="仿宋" w:hAnsi="仿宋" w:cs="仿宋_GB2312" w:hint="eastAsia"/>
          <w:kern w:val="0"/>
          <w:sz w:val="32"/>
          <w:szCs w:val="32"/>
        </w:rPr>
        <w:t>占</w:t>
      </w:r>
      <w:r w:rsidR="00D71ADA">
        <w:rPr>
          <w:rFonts w:ascii="仿宋" w:eastAsia="仿宋" w:hAnsi="仿宋" w:cs="仿宋_GB2312" w:hint="eastAsia"/>
          <w:kern w:val="0"/>
          <w:sz w:val="32"/>
          <w:szCs w:val="32"/>
        </w:rPr>
        <w:t>比</w:t>
      </w:r>
      <w:r w:rsidR="001D72CC">
        <w:rPr>
          <w:rFonts w:ascii="仿宋" w:eastAsia="仿宋" w:hAnsi="仿宋" w:cs="仿宋_GB2312" w:hint="eastAsia"/>
          <w:kern w:val="0"/>
          <w:sz w:val="32"/>
          <w:szCs w:val="32"/>
        </w:rPr>
        <w:t>47.50</w:t>
      </w:r>
      <w:r>
        <w:rPr>
          <w:rFonts w:ascii="仿宋" w:eastAsia="仿宋" w:hAnsi="仿宋" w:cs="仿宋_GB2312" w:hint="eastAsia"/>
          <w:kern w:val="0"/>
          <w:sz w:val="32"/>
          <w:szCs w:val="32"/>
        </w:rPr>
        <w:t>%</w:t>
      </w:r>
      <w:r w:rsidR="00616CF9">
        <w:rPr>
          <w:rFonts w:ascii="仿宋" w:eastAsia="仿宋" w:hAnsi="仿宋" w:cs="仿宋_GB2312" w:hint="eastAsia"/>
          <w:kern w:val="0"/>
          <w:sz w:val="32"/>
          <w:szCs w:val="32"/>
        </w:rPr>
        <w:t>，公路交通管理占</w:t>
      </w:r>
      <w:r w:rsidR="00D71ADA">
        <w:rPr>
          <w:rFonts w:ascii="仿宋" w:eastAsia="仿宋" w:hAnsi="仿宋" w:cs="仿宋_GB2312" w:hint="eastAsia"/>
          <w:kern w:val="0"/>
          <w:sz w:val="32"/>
          <w:szCs w:val="32"/>
        </w:rPr>
        <w:t>比</w:t>
      </w:r>
      <w:r w:rsidR="00616CF9">
        <w:rPr>
          <w:rFonts w:ascii="仿宋" w:eastAsia="仿宋" w:hAnsi="仿宋" w:cs="仿宋_GB2312" w:hint="eastAsia"/>
          <w:kern w:val="0"/>
          <w:sz w:val="32"/>
          <w:szCs w:val="32"/>
        </w:rPr>
        <w:t>27.50%，劳动和社会保障占</w:t>
      </w:r>
      <w:r w:rsidR="00D71ADA">
        <w:rPr>
          <w:rFonts w:ascii="仿宋" w:eastAsia="仿宋" w:hAnsi="仿宋" w:cs="仿宋_GB2312" w:hint="eastAsia"/>
          <w:kern w:val="0"/>
          <w:sz w:val="32"/>
          <w:szCs w:val="32"/>
        </w:rPr>
        <w:t>比</w:t>
      </w:r>
      <w:r w:rsidR="00616CF9">
        <w:rPr>
          <w:rFonts w:ascii="仿宋" w:eastAsia="仿宋" w:hAnsi="仿宋" w:cs="仿宋_GB2312" w:hint="eastAsia"/>
          <w:kern w:val="0"/>
          <w:sz w:val="32"/>
          <w:szCs w:val="32"/>
        </w:rPr>
        <w:t>17.50%</w:t>
      </w:r>
      <w:r w:rsidR="00D71ADA">
        <w:rPr>
          <w:rFonts w:ascii="仿宋" w:eastAsia="仿宋" w:hAnsi="仿宋" w:cs="仿宋_GB2312" w:hint="eastAsia"/>
          <w:kern w:val="0"/>
          <w:sz w:val="32"/>
          <w:szCs w:val="32"/>
        </w:rPr>
        <w:t>，另外在公安行政管理中消防管理案件也呈上升趋势。</w:t>
      </w:r>
    </w:p>
    <w:p w:rsidR="00976DC7" w:rsidRDefault="007922AC">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（三）行政案件涉及行政行为类型多样</w:t>
      </w:r>
    </w:p>
    <w:p w:rsidR="00976DC7" w:rsidRDefault="007922AC">
      <w:pPr>
        <w:autoSpaceDE w:val="0"/>
        <w:autoSpaceDN w:val="0"/>
        <w:adjustRightInd w:val="0"/>
        <w:spacing w:line="560" w:lineRule="exact"/>
        <w:ind w:firstLineChars="200" w:firstLine="640"/>
        <w:rPr>
          <w:rFonts w:ascii="仿宋" w:eastAsia="仿宋" w:hAnsi="仿宋" w:cs="楷体_GB2312"/>
          <w:color w:val="000000" w:themeColor="text1"/>
          <w:sz w:val="32"/>
          <w:szCs w:val="32"/>
        </w:rPr>
      </w:pPr>
      <w:r>
        <w:rPr>
          <w:rFonts w:ascii="仿宋" w:eastAsia="仿宋" w:hAnsi="仿宋" w:cs="仿宋_GB2312"/>
          <w:color w:val="000000" w:themeColor="text1"/>
          <w:sz w:val="32"/>
          <w:szCs w:val="32"/>
        </w:rPr>
        <w:t>实体判决案件共涉及</w:t>
      </w:r>
      <w:r w:rsidR="00FF63E3">
        <w:rPr>
          <w:rFonts w:ascii="仿宋" w:eastAsia="仿宋" w:hAnsi="仿宋" w:cs="仿宋_GB2312" w:hint="eastAsia"/>
          <w:color w:val="000000" w:themeColor="text1"/>
          <w:sz w:val="32"/>
          <w:szCs w:val="32"/>
        </w:rPr>
        <w:t>3</w:t>
      </w:r>
      <w:r>
        <w:rPr>
          <w:rFonts w:ascii="仿宋" w:eastAsia="仿宋" w:hAnsi="仿宋" w:cs="仿宋_GB2312"/>
          <w:color w:val="000000" w:themeColor="text1"/>
          <w:sz w:val="32"/>
          <w:szCs w:val="32"/>
        </w:rPr>
        <w:t xml:space="preserve"> </w:t>
      </w:r>
      <w:r>
        <w:rPr>
          <w:rFonts w:ascii="仿宋" w:eastAsia="仿宋" w:hAnsi="仿宋" w:cs="仿宋_GB2312" w:hint="eastAsia"/>
          <w:color w:val="000000" w:themeColor="text1"/>
          <w:sz w:val="32"/>
          <w:szCs w:val="32"/>
        </w:rPr>
        <w:t>个行为类型，分别为不履行法定职责、行政处罚、行政</w:t>
      </w:r>
      <w:r w:rsidR="00FF63E3">
        <w:rPr>
          <w:rFonts w:ascii="仿宋" w:eastAsia="仿宋" w:hAnsi="仿宋" w:cs="仿宋_GB2312" w:hint="eastAsia"/>
          <w:color w:val="000000" w:themeColor="text1"/>
          <w:sz w:val="32"/>
          <w:szCs w:val="32"/>
        </w:rPr>
        <w:t>协议</w:t>
      </w:r>
      <w:r>
        <w:rPr>
          <w:rFonts w:ascii="仿宋" w:eastAsia="仿宋" w:hAnsi="仿宋" w:cs="仿宋_GB2312" w:hint="eastAsia"/>
          <w:color w:val="000000" w:themeColor="text1"/>
          <w:sz w:val="32"/>
          <w:szCs w:val="32"/>
        </w:rPr>
        <w:t>。其中行政处罚类案件最多，其次为履行法定职责类案件。</w:t>
      </w:r>
    </w:p>
    <w:p w:rsidR="00976DC7" w:rsidRDefault="007922AC">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（四）行政机关败诉案件占一定比例</w:t>
      </w:r>
    </w:p>
    <w:p w:rsidR="00976DC7" w:rsidRDefault="00A348F8">
      <w:pPr>
        <w:spacing w:line="560" w:lineRule="exact"/>
        <w:ind w:firstLineChars="200" w:firstLine="640"/>
        <w:rPr>
          <w:rFonts w:ascii="仿宋" w:eastAsia="仿宋" w:hAnsi="仿宋" w:cs="仿宋_GB2312"/>
          <w:kern w:val="0"/>
          <w:sz w:val="32"/>
          <w:szCs w:val="32"/>
        </w:rPr>
      </w:pPr>
      <w:r>
        <w:rPr>
          <w:rFonts w:ascii="仿宋" w:eastAsia="仿宋" w:hAnsi="仿宋" w:hint="eastAsia"/>
          <w:kern w:val="0"/>
          <w:sz w:val="32"/>
          <w:szCs w:val="32"/>
        </w:rPr>
        <w:lastRenderedPageBreak/>
        <w:t xml:space="preserve">2021年我市行政诉讼案件行政机关败诉率为20%，与 </w:t>
      </w:r>
      <w:r w:rsidR="007922AC">
        <w:rPr>
          <w:rFonts w:ascii="仿宋" w:eastAsia="仿宋" w:hAnsi="仿宋" w:hint="eastAsia"/>
          <w:kern w:val="0"/>
          <w:sz w:val="32"/>
          <w:szCs w:val="32"/>
        </w:rPr>
        <w:t>2020</w:t>
      </w:r>
      <w:r>
        <w:rPr>
          <w:rFonts w:ascii="仿宋" w:eastAsia="仿宋" w:hAnsi="仿宋" w:hint="eastAsia"/>
          <w:kern w:val="0"/>
          <w:sz w:val="32"/>
          <w:szCs w:val="32"/>
        </w:rPr>
        <w:t xml:space="preserve"> 年的</w:t>
      </w:r>
      <w:r w:rsidR="007922AC">
        <w:rPr>
          <w:rFonts w:ascii="仿宋" w:eastAsia="仿宋" w:hAnsi="仿宋" w:hint="eastAsia"/>
          <w:kern w:val="0"/>
          <w:sz w:val="32"/>
          <w:szCs w:val="32"/>
        </w:rPr>
        <w:t>20.51%</w:t>
      </w:r>
      <w:r>
        <w:rPr>
          <w:rFonts w:ascii="仿宋" w:eastAsia="仿宋" w:hAnsi="仿宋" w:hint="eastAsia"/>
          <w:kern w:val="0"/>
          <w:sz w:val="32"/>
          <w:szCs w:val="32"/>
        </w:rPr>
        <w:t>基本持平，</w:t>
      </w:r>
      <w:r w:rsidR="007922AC">
        <w:rPr>
          <w:rFonts w:ascii="仿宋" w:eastAsia="仿宋" w:hAnsi="仿宋" w:hint="eastAsia"/>
          <w:kern w:val="0"/>
          <w:sz w:val="32"/>
          <w:szCs w:val="32"/>
        </w:rPr>
        <w:t>较2019年的31.58%有所下降</w:t>
      </w:r>
      <w:r>
        <w:rPr>
          <w:rFonts w:ascii="仿宋" w:eastAsia="仿宋" w:hAnsi="仿宋" w:hint="eastAsia"/>
          <w:kern w:val="0"/>
          <w:sz w:val="32"/>
          <w:szCs w:val="32"/>
        </w:rPr>
        <w:t>，</w:t>
      </w:r>
      <w:r w:rsidR="007922AC">
        <w:rPr>
          <w:rFonts w:ascii="仿宋" w:eastAsia="仿宋" w:hAnsi="仿宋" w:hint="eastAsia"/>
          <w:kern w:val="0"/>
          <w:sz w:val="32"/>
          <w:szCs w:val="32"/>
        </w:rPr>
        <w:t>但</w:t>
      </w:r>
      <w:r>
        <w:rPr>
          <w:rFonts w:ascii="仿宋" w:eastAsia="仿宋" w:hAnsi="仿宋" w:hint="eastAsia"/>
          <w:kern w:val="0"/>
          <w:sz w:val="32"/>
          <w:szCs w:val="32"/>
        </w:rPr>
        <w:t>是2021年</w:t>
      </w:r>
      <w:r w:rsidR="007922AC">
        <w:rPr>
          <w:rFonts w:ascii="仿宋" w:eastAsia="仿宋" w:hAnsi="仿宋" w:cs="仿宋_GB2312" w:hint="eastAsia"/>
          <w:kern w:val="0"/>
          <w:sz w:val="32"/>
          <w:szCs w:val="32"/>
        </w:rPr>
        <w:t>败诉</w:t>
      </w:r>
      <w:r>
        <w:rPr>
          <w:rFonts w:ascii="仿宋" w:eastAsia="仿宋" w:hAnsi="仿宋" w:cs="仿宋_GB2312" w:hint="eastAsia"/>
          <w:kern w:val="0"/>
          <w:sz w:val="32"/>
          <w:szCs w:val="32"/>
        </w:rPr>
        <w:t>案件却</w:t>
      </w:r>
      <w:r w:rsidR="00FF63E3">
        <w:rPr>
          <w:rFonts w:ascii="仿宋" w:eastAsia="仿宋" w:hAnsi="仿宋" w:cs="仿宋_GB2312" w:hint="eastAsia"/>
          <w:kern w:val="0"/>
          <w:sz w:val="32"/>
          <w:szCs w:val="32"/>
        </w:rPr>
        <w:t>主要</w:t>
      </w:r>
      <w:r>
        <w:rPr>
          <w:rFonts w:ascii="仿宋" w:eastAsia="仿宋" w:hAnsi="仿宋" w:cs="仿宋_GB2312" w:hint="eastAsia"/>
          <w:kern w:val="0"/>
          <w:sz w:val="32"/>
          <w:szCs w:val="32"/>
        </w:rPr>
        <w:t>集中在履行法定职责类</w:t>
      </w:r>
      <w:r>
        <w:rPr>
          <w:rFonts w:ascii="仿宋" w:eastAsia="仿宋" w:hAnsi="仿宋" w:hint="eastAsia"/>
          <w:kern w:val="0"/>
          <w:sz w:val="32"/>
          <w:szCs w:val="32"/>
        </w:rPr>
        <w:t>案件</w:t>
      </w:r>
      <w:r w:rsidR="002F1673">
        <w:rPr>
          <w:rFonts w:ascii="仿宋" w:eastAsia="仿宋" w:hAnsi="仿宋" w:hint="eastAsia"/>
          <w:kern w:val="0"/>
          <w:sz w:val="32"/>
          <w:szCs w:val="32"/>
        </w:rPr>
        <w:t>上，</w:t>
      </w:r>
      <w:r w:rsidR="00375B70">
        <w:rPr>
          <w:rFonts w:ascii="仿宋" w:eastAsia="仿宋" w:hAnsi="仿宋" w:cs="仿宋_GB2312" w:hint="eastAsia"/>
          <w:kern w:val="0"/>
          <w:sz w:val="32"/>
          <w:szCs w:val="32"/>
        </w:rPr>
        <w:t>距离</w:t>
      </w:r>
      <w:r w:rsidR="002F1673">
        <w:rPr>
          <w:rFonts w:ascii="仿宋" w:eastAsia="仿宋" w:hAnsi="仿宋" w:cs="仿宋_GB2312" w:hint="eastAsia"/>
          <w:kern w:val="0"/>
          <w:sz w:val="32"/>
          <w:szCs w:val="32"/>
        </w:rPr>
        <w:t>要依法全面履行政府职能，确保各项职责得到依法全面履行的目标还</w:t>
      </w:r>
      <w:r w:rsidR="00375B70">
        <w:rPr>
          <w:rFonts w:ascii="仿宋" w:eastAsia="仿宋" w:hAnsi="仿宋" w:cs="仿宋_GB2312" w:hint="eastAsia"/>
          <w:kern w:val="0"/>
          <w:sz w:val="32"/>
          <w:szCs w:val="32"/>
        </w:rPr>
        <w:t>有一定差距</w:t>
      </w:r>
      <w:r w:rsidR="002F1673">
        <w:rPr>
          <w:rFonts w:ascii="仿宋" w:eastAsia="仿宋" w:hAnsi="仿宋" w:cs="仿宋_GB2312" w:hint="eastAsia"/>
          <w:kern w:val="0"/>
          <w:sz w:val="32"/>
          <w:szCs w:val="32"/>
        </w:rPr>
        <w:t>。</w:t>
      </w:r>
    </w:p>
    <w:p w:rsidR="00976DC7" w:rsidRPr="00F41764" w:rsidRDefault="007922AC">
      <w:pPr>
        <w:spacing w:line="560" w:lineRule="exact"/>
        <w:ind w:firstLineChars="200" w:firstLine="640"/>
        <w:rPr>
          <w:rFonts w:ascii="黑体" w:eastAsia="黑体" w:hAnsi="黑体" w:cs="黑体"/>
          <w:color w:val="000000" w:themeColor="text1"/>
          <w:sz w:val="32"/>
          <w:szCs w:val="32"/>
        </w:rPr>
      </w:pPr>
      <w:r w:rsidRPr="00F41764">
        <w:rPr>
          <w:rFonts w:ascii="黑体" w:eastAsia="黑体" w:hAnsi="黑体" w:cs="黑体" w:hint="eastAsia"/>
          <w:color w:val="000000" w:themeColor="text1"/>
          <w:sz w:val="32"/>
          <w:szCs w:val="32"/>
        </w:rPr>
        <w:t>三、法治政府建设中存在的主要问题</w:t>
      </w:r>
      <w:r w:rsidRPr="00F41764">
        <w:rPr>
          <w:rFonts w:ascii="黑体" w:eastAsia="黑体" w:hAnsi="黑体" w:cs="黑体"/>
          <w:color w:val="000000" w:themeColor="text1"/>
          <w:sz w:val="32"/>
          <w:szCs w:val="32"/>
        </w:rPr>
        <w:t xml:space="preserve"> </w:t>
      </w:r>
    </w:p>
    <w:p w:rsidR="00976DC7" w:rsidRPr="00F41764" w:rsidRDefault="007922AC">
      <w:pPr>
        <w:spacing w:line="560" w:lineRule="exact"/>
        <w:ind w:firstLineChars="200" w:firstLine="643"/>
        <w:rPr>
          <w:rFonts w:ascii="楷体" w:eastAsia="楷体" w:hAnsi="楷体" w:cs="Times New Roman"/>
          <w:b/>
          <w:color w:val="000000" w:themeColor="text1"/>
          <w:sz w:val="32"/>
          <w:szCs w:val="32"/>
        </w:rPr>
      </w:pPr>
      <w:r w:rsidRPr="00F41764">
        <w:rPr>
          <w:rFonts w:ascii="楷体" w:eastAsia="楷体" w:hAnsi="楷体" w:cs="Times New Roman" w:hint="eastAsia"/>
          <w:b/>
          <w:color w:val="000000" w:themeColor="text1"/>
          <w:sz w:val="32"/>
          <w:szCs w:val="32"/>
        </w:rPr>
        <w:t>（一）个别行政机关程序法定意识有待加强</w:t>
      </w:r>
    </w:p>
    <w:p w:rsidR="00976DC7" w:rsidRPr="00C149E0" w:rsidRDefault="007922AC" w:rsidP="00C149E0">
      <w:pPr>
        <w:spacing w:line="540" w:lineRule="exact"/>
        <w:rPr>
          <w:rFonts w:ascii="仿宋_GB2312" w:eastAsia="仿宋_GB2312" w:hAnsi="Calibri" w:cs="Times New Roman"/>
          <w:sz w:val="32"/>
          <w:szCs w:val="32"/>
        </w:rPr>
      </w:pPr>
      <w:r>
        <w:rPr>
          <w:rFonts w:ascii="仿宋" w:eastAsia="仿宋" w:hAnsi="仿宋" w:cs="仿宋_GB2312" w:hint="eastAsia"/>
          <w:sz w:val="32"/>
          <w:szCs w:val="32"/>
        </w:rPr>
        <w:t>程序合法是依法行政的基本要求。要完善行政执法程序，严格规范作出各类行政行为的主体、权限、方式、步骤和时限。行政诉讼法及其司法解释明确规定，针对程序违法的行政行为，人民法院要判决撤销；程序轻微违法的，人民法院可以判决确认违法。从案件审理情况看，程序违法尤其是程序轻微违法的情况仍然存在，</w:t>
      </w:r>
      <w:r w:rsidR="00C149E0">
        <w:rPr>
          <w:rFonts w:ascii="仿宋" w:eastAsia="仿宋" w:hAnsi="仿宋" w:cs="仿宋_GB2312" w:hint="eastAsia"/>
          <w:sz w:val="32"/>
          <w:szCs w:val="32"/>
        </w:rPr>
        <w:t>在姜某某诉德惠市公安局不服行政拘留决定一案中，</w:t>
      </w:r>
      <w:r>
        <w:rPr>
          <w:rFonts w:ascii="仿宋" w:eastAsia="仿宋" w:hAnsi="仿宋" w:cs="仿宋_GB2312" w:hint="eastAsia"/>
          <w:sz w:val="32"/>
          <w:szCs w:val="32"/>
        </w:rPr>
        <w:t>本院</w:t>
      </w:r>
      <w:r w:rsidR="00C149E0">
        <w:rPr>
          <w:rFonts w:ascii="仿宋" w:eastAsia="仿宋" w:hAnsi="仿宋" w:cs="仿宋_GB2312" w:hint="eastAsia"/>
          <w:sz w:val="32"/>
          <w:szCs w:val="32"/>
        </w:rPr>
        <w:t>判决</w:t>
      </w:r>
      <w:r w:rsidR="00C149E0">
        <w:rPr>
          <w:rFonts w:ascii="仿宋_GB2312" w:eastAsia="仿宋_GB2312" w:hint="eastAsia"/>
          <w:sz w:val="32"/>
          <w:szCs w:val="32"/>
        </w:rPr>
        <w:t>确认</w:t>
      </w:r>
      <w:r w:rsidR="00C149E0" w:rsidRPr="00146718">
        <w:rPr>
          <w:rFonts w:ascii="仿宋_GB2312" w:eastAsia="仿宋_GB2312" w:cs="Times New Roman" w:hint="eastAsia"/>
          <w:sz w:val="32"/>
          <w:szCs w:val="32"/>
        </w:rPr>
        <w:t>德惠市公安局</w:t>
      </w:r>
      <w:r w:rsidR="00C149E0">
        <w:rPr>
          <w:rFonts w:ascii="仿宋_GB2312" w:eastAsia="仿宋_GB2312" w:cs="Times New Roman" w:hint="eastAsia"/>
          <w:sz w:val="32"/>
          <w:szCs w:val="32"/>
        </w:rPr>
        <w:t>作出的</w:t>
      </w:r>
      <w:r w:rsidR="00C149E0" w:rsidRPr="00C04705">
        <w:rPr>
          <w:rFonts w:ascii="仿宋_GB2312" w:eastAsia="仿宋_GB2312" w:cs="Times New Roman" w:hint="eastAsia"/>
          <w:sz w:val="32"/>
          <w:szCs w:val="32"/>
        </w:rPr>
        <w:t>行政处罚决定</w:t>
      </w:r>
      <w:r w:rsidR="00C149E0" w:rsidRPr="00C04705">
        <w:rPr>
          <w:rFonts w:ascii="仿宋_GB2312" w:eastAsia="仿宋_GB2312" w:hint="eastAsia"/>
          <w:sz w:val="32"/>
          <w:szCs w:val="32"/>
        </w:rPr>
        <w:t>违法</w:t>
      </w:r>
      <w:r w:rsidR="00C149E0">
        <w:rPr>
          <w:rFonts w:ascii="仿宋_GB2312" w:eastAsia="仿宋_GB2312" w:hint="eastAsia"/>
          <w:sz w:val="32"/>
          <w:szCs w:val="32"/>
        </w:rPr>
        <w:t>，但考虑处罚决定认定事实清楚，结论正确，对姜某某权利并未产生实际影响，故对该处罚决定不予撤销</w:t>
      </w:r>
      <w:r>
        <w:rPr>
          <w:rFonts w:ascii="仿宋" w:eastAsia="仿宋" w:hAnsi="仿宋" w:cs="仿宋_GB2312" w:hint="eastAsia"/>
          <w:color w:val="000000" w:themeColor="text1"/>
          <w:sz w:val="32"/>
          <w:szCs w:val="32"/>
        </w:rPr>
        <w:t>。</w:t>
      </w:r>
      <w:r w:rsidR="009C6F43">
        <w:rPr>
          <w:rFonts w:ascii="仿宋" w:eastAsia="仿宋" w:hAnsi="仿宋" w:cs="仿宋_GB2312" w:hint="eastAsia"/>
          <w:color w:val="000000" w:themeColor="text1"/>
          <w:sz w:val="32"/>
          <w:szCs w:val="32"/>
        </w:rPr>
        <w:t>在非诉执行案件中，因程序违法导致不准予强制执行案件4件。</w:t>
      </w:r>
    </w:p>
    <w:p w:rsidR="00976DC7" w:rsidRPr="006D3B69" w:rsidRDefault="007922AC">
      <w:pPr>
        <w:spacing w:line="560" w:lineRule="exact"/>
        <w:ind w:firstLineChars="200" w:firstLine="643"/>
        <w:rPr>
          <w:rFonts w:ascii="楷体" w:eastAsia="楷体" w:hAnsi="楷体" w:cs="Times New Roman"/>
          <w:b/>
          <w:color w:val="000000" w:themeColor="text1"/>
          <w:sz w:val="32"/>
          <w:szCs w:val="32"/>
        </w:rPr>
      </w:pPr>
      <w:r w:rsidRPr="006D3B69">
        <w:rPr>
          <w:rFonts w:ascii="楷体" w:eastAsia="楷体" w:hAnsi="楷体" w:cs="Times New Roman" w:hint="eastAsia"/>
          <w:b/>
          <w:color w:val="000000" w:themeColor="text1"/>
          <w:sz w:val="32"/>
          <w:szCs w:val="32"/>
        </w:rPr>
        <w:t>（二）个别行政机关证据意识有待提高</w:t>
      </w:r>
    </w:p>
    <w:p w:rsidR="00976DC7" w:rsidRDefault="007922AC">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仿宋_GB2312" w:hint="eastAsia"/>
          <w:color w:val="auto"/>
          <w:sz w:val="32"/>
          <w:szCs w:val="32"/>
        </w:rPr>
        <w:t>认定事实清楚是准确适用法律的前提。部分行政机关在作出行政行为时，没有对相关证据进行全面搜集和综合评判，导致案件认定事实不清。</w:t>
      </w:r>
      <w:r>
        <w:rPr>
          <w:rFonts w:ascii="仿宋" w:eastAsia="仿宋" w:hAnsi="仿宋" w:cs="Times New Roman"/>
          <w:color w:val="auto"/>
          <w:sz w:val="32"/>
          <w:szCs w:val="32"/>
        </w:rPr>
        <w:t>20</w:t>
      </w:r>
      <w:r>
        <w:rPr>
          <w:rFonts w:ascii="仿宋" w:eastAsia="仿宋" w:hAnsi="仿宋" w:cs="Times New Roman" w:hint="eastAsia"/>
          <w:color w:val="auto"/>
          <w:sz w:val="32"/>
          <w:szCs w:val="32"/>
        </w:rPr>
        <w:t>2</w:t>
      </w:r>
      <w:r w:rsidR="009C6F43">
        <w:rPr>
          <w:rFonts w:ascii="仿宋" w:eastAsia="仿宋" w:hAnsi="仿宋" w:cs="Times New Roman" w:hint="eastAsia"/>
          <w:color w:val="auto"/>
          <w:sz w:val="32"/>
          <w:szCs w:val="32"/>
        </w:rPr>
        <w:t>1</w:t>
      </w:r>
      <w:r>
        <w:rPr>
          <w:rFonts w:ascii="仿宋" w:eastAsia="仿宋" w:hAnsi="仿宋" w:cs="仿宋_GB2312" w:hint="eastAsia"/>
          <w:color w:val="auto"/>
          <w:sz w:val="32"/>
          <w:szCs w:val="32"/>
        </w:rPr>
        <w:t>年</w:t>
      </w:r>
      <w:r w:rsidR="009C6F43">
        <w:rPr>
          <w:rFonts w:ascii="仿宋" w:eastAsia="仿宋" w:hAnsi="仿宋" w:cs="仿宋_GB2312" w:hint="eastAsia"/>
          <w:color w:val="auto"/>
          <w:sz w:val="32"/>
          <w:szCs w:val="32"/>
        </w:rPr>
        <w:t>非诉执行案件中</w:t>
      </w:r>
      <w:r>
        <w:rPr>
          <w:rFonts w:ascii="仿宋" w:eastAsia="仿宋" w:hAnsi="仿宋" w:cs="仿宋_GB2312" w:hint="eastAsia"/>
          <w:color w:val="auto"/>
          <w:sz w:val="32"/>
          <w:szCs w:val="32"/>
        </w:rPr>
        <w:t>，本院以事实不清，</w:t>
      </w:r>
      <w:r w:rsidR="009C6F43">
        <w:rPr>
          <w:rFonts w:ascii="仿宋" w:eastAsia="仿宋" w:hAnsi="仿宋" w:cs="仿宋_GB2312" w:hint="eastAsia"/>
          <w:color w:val="auto"/>
          <w:sz w:val="32"/>
          <w:szCs w:val="32"/>
        </w:rPr>
        <w:t>不准予强制执行</w:t>
      </w:r>
      <w:r>
        <w:rPr>
          <w:rFonts w:ascii="仿宋" w:eastAsia="仿宋" w:hAnsi="仿宋" w:cs="Times New Roman" w:hint="eastAsia"/>
          <w:color w:val="auto"/>
          <w:sz w:val="32"/>
          <w:szCs w:val="32"/>
        </w:rPr>
        <w:t>2</w:t>
      </w:r>
      <w:r>
        <w:rPr>
          <w:rFonts w:ascii="仿宋" w:eastAsia="仿宋" w:hAnsi="仿宋" w:cs="仿宋_GB2312" w:hint="eastAsia"/>
          <w:color w:val="auto"/>
          <w:sz w:val="32"/>
          <w:szCs w:val="32"/>
        </w:rPr>
        <w:t>件。</w:t>
      </w:r>
      <w:r>
        <w:rPr>
          <w:rFonts w:ascii="仿宋" w:eastAsia="仿宋" w:hAnsi="仿宋" w:cs="仿宋_GB2312"/>
          <w:color w:val="auto"/>
          <w:sz w:val="32"/>
          <w:szCs w:val="32"/>
        </w:rPr>
        <w:t xml:space="preserve"> </w:t>
      </w:r>
    </w:p>
    <w:p w:rsidR="00976DC7" w:rsidRDefault="007922AC">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（三）个别行政机关未依法及时履行法定职责</w:t>
      </w:r>
    </w:p>
    <w:p w:rsidR="00976DC7" w:rsidRDefault="007922AC">
      <w:pPr>
        <w:autoSpaceDE w:val="0"/>
        <w:autoSpaceDN w:val="0"/>
        <w:adjustRightInd w:val="0"/>
        <w:spacing w:line="560" w:lineRule="exact"/>
        <w:ind w:firstLineChars="200" w:firstLine="640"/>
        <w:rPr>
          <w:rFonts w:ascii="仿宋" w:eastAsia="仿宋" w:hAnsi="仿宋"/>
          <w:kern w:val="0"/>
          <w:sz w:val="32"/>
        </w:rPr>
      </w:pPr>
      <w:r>
        <w:rPr>
          <w:rFonts w:ascii="仿宋" w:eastAsia="仿宋" w:hAnsi="仿宋" w:cs="仿宋_GB2312" w:hint="eastAsia"/>
          <w:kern w:val="0"/>
          <w:sz w:val="32"/>
          <w:szCs w:val="32"/>
        </w:rPr>
        <w:t>法治政府建设实施纲要</w:t>
      </w:r>
      <w:r w:rsidR="00DC17C5">
        <w:rPr>
          <w:rFonts w:ascii="仿宋" w:eastAsia="仿宋" w:hAnsi="仿宋" w:cs="仿宋_GB2312" w:hint="eastAsia"/>
          <w:kern w:val="0"/>
          <w:sz w:val="32"/>
          <w:szCs w:val="32"/>
        </w:rPr>
        <w:t>中</w:t>
      </w:r>
      <w:r>
        <w:rPr>
          <w:rFonts w:ascii="仿宋" w:eastAsia="仿宋" w:hAnsi="仿宋" w:cs="仿宋_GB2312" w:hint="eastAsia"/>
          <w:kern w:val="0"/>
          <w:sz w:val="32"/>
          <w:szCs w:val="32"/>
        </w:rPr>
        <w:t>明确规定，要依法全面履行政</w:t>
      </w:r>
      <w:r>
        <w:rPr>
          <w:rFonts w:ascii="仿宋" w:eastAsia="仿宋" w:hAnsi="仿宋" w:cs="仿宋_GB2312" w:hint="eastAsia"/>
          <w:kern w:val="0"/>
          <w:sz w:val="32"/>
          <w:szCs w:val="32"/>
        </w:rPr>
        <w:lastRenderedPageBreak/>
        <w:t>府职能，确保各项职责得到依法全面履行</w:t>
      </w:r>
      <w:r w:rsidR="00DC17C5">
        <w:rPr>
          <w:rFonts w:ascii="仿宋" w:eastAsia="仿宋" w:hAnsi="仿宋" w:cs="仿宋_GB2312" w:hint="eastAsia"/>
          <w:kern w:val="0"/>
          <w:sz w:val="32"/>
          <w:szCs w:val="32"/>
        </w:rPr>
        <w:t>。</w:t>
      </w:r>
      <w:r>
        <w:rPr>
          <w:rFonts w:ascii="仿宋" w:eastAsia="仿宋" w:hAnsi="仿宋" w:cs="仿宋_GB2312" w:hint="eastAsia"/>
          <w:kern w:val="0"/>
          <w:sz w:val="32"/>
          <w:szCs w:val="32"/>
        </w:rPr>
        <w:t>202</w:t>
      </w:r>
      <w:r w:rsidR="00DC17C5">
        <w:rPr>
          <w:rFonts w:ascii="仿宋" w:eastAsia="仿宋" w:hAnsi="仿宋" w:cs="仿宋_GB2312" w:hint="eastAsia"/>
          <w:kern w:val="0"/>
          <w:sz w:val="32"/>
          <w:szCs w:val="32"/>
        </w:rPr>
        <w:t>1</w:t>
      </w:r>
      <w:r>
        <w:rPr>
          <w:rFonts w:ascii="仿宋" w:eastAsia="仿宋" w:hAnsi="仿宋" w:cs="仿宋_GB2312" w:hint="eastAsia"/>
          <w:kern w:val="0"/>
          <w:sz w:val="32"/>
          <w:szCs w:val="32"/>
        </w:rPr>
        <w:t>年本院审理涉及要求履行法定职责类案件达到</w:t>
      </w:r>
      <w:r w:rsidR="00150AE4">
        <w:rPr>
          <w:rFonts w:ascii="仿宋" w:eastAsia="仿宋" w:hAnsi="仿宋" w:cs="Times New Roman" w:hint="eastAsia"/>
          <w:kern w:val="0"/>
          <w:sz w:val="32"/>
          <w:szCs w:val="32"/>
        </w:rPr>
        <w:t>7</w:t>
      </w:r>
      <w:r>
        <w:rPr>
          <w:rFonts w:ascii="仿宋" w:eastAsia="仿宋" w:hAnsi="仿宋" w:cs="仿宋_GB2312" w:hint="eastAsia"/>
          <w:kern w:val="0"/>
          <w:sz w:val="32"/>
          <w:szCs w:val="32"/>
        </w:rPr>
        <w:t>件，占收案总数的</w:t>
      </w:r>
      <w:r w:rsidR="00150AE4">
        <w:rPr>
          <w:rFonts w:ascii="仿宋" w:eastAsia="仿宋" w:hAnsi="仿宋" w:cs="仿宋_GB2312" w:hint="eastAsia"/>
          <w:kern w:val="0"/>
          <w:sz w:val="32"/>
          <w:szCs w:val="32"/>
        </w:rPr>
        <w:t>28</w:t>
      </w:r>
      <w:r>
        <w:rPr>
          <w:rFonts w:ascii="仿宋" w:eastAsia="仿宋" w:hAnsi="仿宋" w:cs="仿宋_GB2312" w:hint="eastAsia"/>
          <w:kern w:val="0"/>
          <w:sz w:val="32"/>
          <w:szCs w:val="32"/>
        </w:rPr>
        <w:t>%。其中实体判决</w:t>
      </w:r>
      <w:r w:rsidR="00150AE4">
        <w:rPr>
          <w:rFonts w:ascii="仿宋" w:eastAsia="仿宋" w:hAnsi="仿宋" w:cs="仿宋_GB2312" w:hint="eastAsia"/>
          <w:kern w:val="0"/>
          <w:sz w:val="32"/>
          <w:szCs w:val="32"/>
        </w:rPr>
        <w:t>5</w:t>
      </w:r>
      <w:r>
        <w:rPr>
          <w:rFonts w:ascii="仿宋" w:eastAsia="仿宋" w:hAnsi="仿宋" w:cs="仿宋_GB2312" w:hint="eastAsia"/>
          <w:kern w:val="0"/>
          <w:sz w:val="32"/>
          <w:szCs w:val="32"/>
        </w:rPr>
        <w:t>件，但被本院判决败诉案件为</w:t>
      </w:r>
      <w:r w:rsidR="00150AE4">
        <w:rPr>
          <w:rFonts w:ascii="仿宋" w:eastAsia="仿宋" w:hAnsi="仿宋" w:cs="仿宋_GB2312" w:hint="eastAsia"/>
          <w:kern w:val="0"/>
          <w:sz w:val="32"/>
          <w:szCs w:val="32"/>
        </w:rPr>
        <w:t>4</w:t>
      </w:r>
      <w:r>
        <w:rPr>
          <w:rFonts w:ascii="仿宋" w:eastAsia="仿宋" w:hAnsi="仿宋" w:cs="仿宋_GB2312" w:hint="eastAsia"/>
          <w:kern w:val="0"/>
          <w:sz w:val="32"/>
          <w:szCs w:val="32"/>
        </w:rPr>
        <w:t>件，败诉率达到了</w:t>
      </w:r>
      <w:r w:rsidR="00150AE4">
        <w:rPr>
          <w:rFonts w:ascii="仿宋" w:eastAsia="仿宋" w:hAnsi="仿宋" w:cs="仿宋_GB2312" w:hint="eastAsia"/>
          <w:kern w:val="0"/>
          <w:sz w:val="32"/>
          <w:szCs w:val="32"/>
        </w:rPr>
        <w:t>80</w:t>
      </w:r>
      <w:r>
        <w:rPr>
          <w:rFonts w:ascii="仿宋" w:eastAsia="仿宋" w:hAnsi="仿宋" w:cs="仿宋_GB2312" w:hint="eastAsia"/>
          <w:kern w:val="0"/>
          <w:sz w:val="32"/>
          <w:szCs w:val="32"/>
        </w:rPr>
        <w:t>%。</w:t>
      </w:r>
    </w:p>
    <w:p w:rsidR="00976DC7" w:rsidRDefault="007922AC">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（四）准确适用法律能力有待提高</w:t>
      </w:r>
    </w:p>
    <w:p w:rsidR="00976DC7" w:rsidRDefault="007922AC">
      <w:pPr>
        <w:pStyle w:val="Default"/>
        <w:spacing w:line="560" w:lineRule="exact"/>
        <w:ind w:firstLineChars="200" w:firstLine="640"/>
        <w:jc w:val="both"/>
        <w:rPr>
          <w:rFonts w:ascii="仿宋" w:eastAsia="仿宋" w:hAnsi="仿宋" w:cs="Times New Roman"/>
          <w:color w:val="auto"/>
          <w:sz w:val="32"/>
          <w:szCs w:val="32"/>
        </w:rPr>
      </w:pPr>
      <w:r>
        <w:rPr>
          <w:rFonts w:ascii="仿宋" w:eastAsia="仿宋" w:hAnsi="仿宋" w:cs="仿宋_GB2312" w:hint="eastAsia"/>
          <w:color w:val="auto"/>
          <w:sz w:val="32"/>
          <w:szCs w:val="32"/>
        </w:rPr>
        <w:t>法律适用涉及法律、法规、行政规章及规范性文件众多，一直是行政执法和行政审判的难点。随着国家机构改革逐步深入，行政机关职能配置逐步调整，部分行政管理领域法律适用呈现出一些新情况、新问题。</w:t>
      </w:r>
      <w:r>
        <w:rPr>
          <w:rFonts w:ascii="仿宋" w:eastAsia="仿宋" w:hAnsi="仿宋" w:cs="Times New Roman"/>
          <w:color w:val="auto"/>
          <w:sz w:val="32"/>
          <w:szCs w:val="32"/>
        </w:rPr>
        <w:t>20</w:t>
      </w:r>
      <w:r>
        <w:rPr>
          <w:rFonts w:ascii="仿宋" w:eastAsia="仿宋" w:hAnsi="仿宋" w:cs="Times New Roman" w:hint="eastAsia"/>
          <w:color w:val="auto"/>
          <w:sz w:val="32"/>
          <w:szCs w:val="32"/>
        </w:rPr>
        <w:t>2</w:t>
      </w:r>
      <w:r w:rsidR="00392084">
        <w:rPr>
          <w:rFonts w:ascii="仿宋" w:eastAsia="仿宋" w:hAnsi="仿宋" w:cs="Times New Roman" w:hint="eastAsia"/>
          <w:color w:val="auto"/>
          <w:sz w:val="32"/>
          <w:szCs w:val="32"/>
        </w:rPr>
        <w:t>1</w:t>
      </w:r>
      <w:r>
        <w:rPr>
          <w:rFonts w:ascii="仿宋" w:eastAsia="仿宋" w:hAnsi="仿宋" w:cs="仿宋_GB2312" w:hint="eastAsia"/>
          <w:color w:val="auto"/>
          <w:sz w:val="32"/>
          <w:szCs w:val="32"/>
        </w:rPr>
        <w:t>年，本院以适用法律错误为由判决行政机关败诉</w:t>
      </w:r>
      <w:r>
        <w:rPr>
          <w:rFonts w:ascii="仿宋" w:eastAsia="仿宋" w:hAnsi="仿宋" w:cs="Times New Roman" w:hint="eastAsia"/>
          <w:color w:val="auto"/>
          <w:sz w:val="32"/>
          <w:szCs w:val="32"/>
        </w:rPr>
        <w:t>1</w:t>
      </w:r>
      <w:r>
        <w:rPr>
          <w:rFonts w:ascii="仿宋" w:eastAsia="仿宋" w:hAnsi="仿宋" w:cs="仿宋_GB2312" w:hint="eastAsia"/>
          <w:color w:val="auto"/>
          <w:sz w:val="32"/>
          <w:szCs w:val="32"/>
        </w:rPr>
        <w:t>件，占败诉案件总数的</w:t>
      </w:r>
      <w:r>
        <w:rPr>
          <w:rFonts w:ascii="仿宋" w:eastAsia="仿宋" w:hAnsi="仿宋" w:cs="Times New Roman" w:hint="eastAsia"/>
          <w:color w:val="auto"/>
          <w:sz w:val="32"/>
          <w:szCs w:val="32"/>
        </w:rPr>
        <w:t>12.5</w:t>
      </w:r>
      <w:r>
        <w:rPr>
          <w:rFonts w:ascii="仿宋" w:eastAsia="仿宋" w:hAnsi="仿宋" w:cs="Times New Roman"/>
          <w:color w:val="auto"/>
          <w:sz w:val="32"/>
          <w:szCs w:val="32"/>
        </w:rPr>
        <w:t>%</w:t>
      </w:r>
      <w:r>
        <w:rPr>
          <w:rFonts w:ascii="仿宋" w:eastAsia="仿宋" w:hAnsi="仿宋" w:cs="仿宋_GB2312" w:hint="eastAsia"/>
          <w:color w:val="auto"/>
          <w:sz w:val="32"/>
          <w:szCs w:val="32"/>
        </w:rPr>
        <w:t>。</w:t>
      </w:r>
      <w:r>
        <w:rPr>
          <w:rFonts w:ascii="仿宋" w:eastAsia="仿宋" w:hAnsi="仿宋" w:cs="仿宋_GB2312"/>
          <w:color w:val="auto"/>
          <w:sz w:val="32"/>
          <w:szCs w:val="32"/>
        </w:rPr>
        <w:t xml:space="preserve"> </w:t>
      </w:r>
    </w:p>
    <w:p w:rsidR="00976DC7" w:rsidRDefault="007922AC">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（五）行政机关出庭应诉仍需改进</w:t>
      </w:r>
    </w:p>
    <w:p w:rsidR="00976DC7" w:rsidRDefault="007922AC">
      <w:pPr>
        <w:spacing w:line="560" w:lineRule="exact"/>
        <w:ind w:firstLineChars="200" w:firstLine="640"/>
        <w:rPr>
          <w:rFonts w:ascii="仿宋" w:eastAsia="仿宋" w:hAnsi="仿宋" w:cs="仿宋_GB2312"/>
          <w:sz w:val="32"/>
          <w:szCs w:val="32"/>
        </w:rPr>
      </w:pPr>
      <w:r>
        <w:rPr>
          <w:rFonts w:ascii="仿宋" w:eastAsia="仿宋" w:hAnsi="仿宋" w:hint="eastAsia"/>
          <w:sz w:val="32"/>
          <w:szCs w:val="32"/>
        </w:rPr>
        <w:t>《行政诉讼法》明确规定,对于涉及重大公共利益、社会高度关注或者可能引发群体性事件的行政案件,行政机关负责人应当出庭应诉。在中央全面依法治国委员会制定的《市县法治政府建设示范指标体系》中也明确提出,对于上述属于行政机关应当出庭应诉的案件,被诉行机关负责人出庭率应当达到100%。</w:t>
      </w:r>
      <w:r>
        <w:rPr>
          <w:rFonts w:ascii="仿宋" w:eastAsia="仿宋" w:hAnsi="仿宋" w:cs="仿宋_GB2312" w:hint="eastAsia"/>
          <w:sz w:val="32"/>
          <w:szCs w:val="32"/>
        </w:rPr>
        <w:t>行政机关负责人出庭应诉，依法举证质证，是行政诉讼法对行政机关的基本要求。为了规范应诉行为，省政府专门出台了《吉林省行政应诉办法》，进一步明确有关规定。</w:t>
      </w:r>
      <w:r>
        <w:rPr>
          <w:rFonts w:ascii="仿宋" w:eastAsia="仿宋" w:hAnsi="仿宋" w:hint="eastAsia"/>
          <w:sz w:val="32"/>
          <w:szCs w:val="32"/>
        </w:rPr>
        <w:t>我市</w:t>
      </w:r>
      <w:r w:rsidR="00392084">
        <w:rPr>
          <w:rFonts w:ascii="仿宋" w:eastAsia="仿宋" w:hAnsi="仿宋" w:hint="eastAsia"/>
          <w:sz w:val="32"/>
          <w:szCs w:val="32"/>
        </w:rPr>
        <w:t>2021年行政机关负责人出庭应诉率为</w:t>
      </w:r>
      <w:r w:rsidR="00F16DA8">
        <w:rPr>
          <w:rFonts w:ascii="仿宋" w:eastAsia="仿宋" w:hAnsi="仿宋" w:hint="eastAsia"/>
          <w:sz w:val="32"/>
          <w:szCs w:val="32"/>
        </w:rPr>
        <w:t>23.33</w:t>
      </w:r>
      <w:r w:rsidR="00392084">
        <w:rPr>
          <w:rFonts w:ascii="仿宋" w:eastAsia="仿宋" w:hAnsi="仿宋" w:hint="eastAsia"/>
          <w:sz w:val="32"/>
          <w:szCs w:val="32"/>
        </w:rPr>
        <w:t>%，</w:t>
      </w:r>
      <w:r w:rsidR="00F16DA8">
        <w:rPr>
          <w:rFonts w:ascii="仿宋" w:eastAsia="仿宋" w:hAnsi="仿宋" w:hint="eastAsia"/>
          <w:sz w:val="32"/>
          <w:szCs w:val="32"/>
        </w:rPr>
        <w:t>较</w:t>
      </w:r>
      <w:r>
        <w:rPr>
          <w:rFonts w:ascii="仿宋" w:eastAsia="仿宋" w:hAnsi="仿宋" w:hint="eastAsia"/>
          <w:sz w:val="32"/>
          <w:szCs w:val="32"/>
        </w:rPr>
        <w:t>2020年</w:t>
      </w:r>
      <w:r w:rsidR="00392084">
        <w:rPr>
          <w:rFonts w:ascii="仿宋" w:eastAsia="仿宋" w:hAnsi="仿宋" w:hint="eastAsia"/>
          <w:sz w:val="32"/>
          <w:szCs w:val="32"/>
        </w:rPr>
        <w:t>的</w:t>
      </w:r>
      <w:r>
        <w:rPr>
          <w:rFonts w:ascii="仿宋" w:eastAsia="仿宋" w:hAnsi="仿宋" w:hint="eastAsia"/>
          <w:sz w:val="32"/>
          <w:szCs w:val="32"/>
        </w:rPr>
        <w:t>30.77%</w:t>
      </w:r>
      <w:r w:rsidR="00F16DA8">
        <w:rPr>
          <w:rFonts w:ascii="仿宋" w:eastAsia="仿宋" w:hAnsi="仿宋" w:hint="eastAsia"/>
          <w:sz w:val="32"/>
          <w:szCs w:val="32"/>
        </w:rPr>
        <w:t>有所下降</w:t>
      </w:r>
      <w:r>
        <w:rPr>
          <w:rFonts w:ascii="仿宋" w:eastAsia="仿宋" w:hAnsi="仿宋" w:hint="eastAsia"/>
          <w:sz w:val="32"/>
          <w:szCs w:val="32"/>
        </w:rPr>
        <w:t>。在我院发出的</w:t>
      </w:r>
      <w:r w:rsidR="00392084">
        <w:rPr>
          <w:rFonts w:ascii="仿宋" w:eastAsia="仿宋" w:hAnsi="仿宋" w:hint="eastAsia"/>
          <w:sz w:val="32"/>
          <w:szCs w:val="32"/>
        </w:rPr>
        <w:t>2</w:t>
      </w:r>
      <w:r>
        <w:rPr>
          <w:rFonts w:ascii="仿宋" w:eastAsia="仿宋" w:hAnsi="仿宋" w:hint="eastAsia"/>
          <w:sz w:val="32"/>
          <w:szCs w:val="32"/>
        </w:rPr>
        <w:t>份行政机关负责人出庭应诉通知书中仍有</w:t>
      </w:r>
      <w:r w:rsidR="00392084">
        <w:rPr>
          <w:rFonts w:ascii="仿宋" w:eastAsia="仿宋" w:hAnsi="仿宋" w:hint="eastAsia"/>
          <w:sz w:val="32"/>
          <w:szCs w:val="32"/>
        </w:rPr>
        <w:t>1</w:t>
      </w:r>
      <w:r>
        <w:rPr>
          <w:rFonts w:ascii="仿宋" w:eastAsia="仿宋" w:hAnsi="仿宋" w:hint="eastAsia"/>
          <w:sz w:val="32"/>
          <w:szCs w:val="32"/>
        </w:rPr>
        <w:t>起案件行政机关未出庭应诉，亦未提交不能出庭情况说明。出庭应诉的人员也存在应诉意识不强、能力水平不高,甚至不了解案件情况、</w:t>
      </w:r>
      <w:r>
        <w:rPr>
          <w:rFonts w:ascii="仿宋" w:eastAsia="仿宋" w:hAnsi="仿宋" w:hint="eastAsia"/>
          <w:sz w:val="32"/>
          <w:szCs w:val="32"/>
        </w:rPr>
        <w:lastRenderedPageBreak/>
        <w:t>不遵守证据规则、不配合法院调解,难以实现行政争议的实质性化解，</w:t>
      </w:r>
      <w:r>
        <w:rPr>
          <w:rFonts w:ascii="仿宋" w:eastAsia="仿宋" w:hAnsi="仿宋" w:cs="仿宋_GB2312" w:hint="eastAsia"/>
          <w:sz w:val="32"/>
          <w:szCs w:val="32"/>
        </w:rPr>
        <w:t>未发挥应有作用。部分政府委托出庭的工作人员和律师，对案件情况不了解，专业性不足，在庭审中不能充分维护行政机关的合法权益。</w:t>
      </w:r>
    </w:p>
    <w:p w:rsidR="00976DC7" w:rsidRDefault="007922A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四、进一步推进法治政府建设的建议</w:t>
      </w:r>
      <w:r>
        <w:rPr>
          <w:rFonts w:ascii="黑体" w:eastAsia="黑体" w:hAnsi="黑体" w:cs="黑体"/>
          <w:sz w:val="32"/>
          <w:szCs w:val="32"/>
        </w:rPr>
        <w:t xml:space="preserve"> </w:t>
      </w:r>
    </w:p>
    <w:p w:rsidR="00976DC7" w:rsidRDefault="007922AC">
      <w:pPr>
        <w:autoSpaceDE w:val="0"/>
        <w:autoSpaceDN w:val="0"/>
        <w:adjustRightInd w:val="0"/>
        <w:spacing w:line="560" w:lineRule="exact"/>
        <w:ind w:firstLineChars="196" w:firstLine="630"/>
        <w:rPr>
          <w:rFonts w:ascii="楷体" w:eastAsia="楷体" w:hAnsi="楷体" w:cs="楷体_GB2312"/>
          <w:b/>
          <w:kern w:val="0"/>
          <w:sz w:val="32"/>
          <w:szCs w:val="32"/>
        </w:rPr>
      </w:pPr>
      <w:r>
        <w:rPr>
          <w:rFonts w:ascii="楷体" w:eastAsia="楷体" w:hAnsi="楷体" w:cs="楷体_GB2312" w:hint="eastAsia"/>
          <w:b/>
          <w:kern w:val="0"/>
          <w:sz w:val="32"/>
          <w:szCs w:val="32"/>
        </w:rPr>
        <w:t>（一）进一步提升行政执法水平</w:t>
      </w:r>
      <w:r>
        <w:rPr>
          <w:rFonts w:ascii="楷体" w:eastAsia="楷体" w:hAnsi="楷体" w:cs="楷体_GB2312"/>
          <w:b/>
          <w:kern w:val="0"/>
          <w:sz w:val="32"/>
          <w:szCs w:val="32"/>
        </w:rPr>
        <w:t xml:space="preserve"> </w:t>
      </w:r>
    </w:p>
    <w:p w:rsidR="00976DC7" w:rsidRDefault="007922AC">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Times New Roman"/>
          <w:color w:val="auto"/>
          <w:sz w:val="32"/>
          <w:szCs w:val="32"/>
        </w:rPr>
        <w:t>“</w:t>
      </w:r>
      <w:r>
        <w:rPr>
          <w:rFonts w:ascii="仿宋" w:eastAsia="仿宋" w:hAnsi="仿宋" w:cs="仿宋_GB2312" w:hint="eastAsia"/>
          <w:color w:val="auto"/>
          <w:sz w:val="32"/>
          <w:szCs w:val="32"/>
        </w:rPr>
        <w:t>坚持有法必依、执法必严、违法必究，严格规范公正文明执法</w:t>
      </w:r>
      <w:r>
        <w:rPr>
          <w:rFonts w:ascii="仿宋" w:eastAsia="仿宋" w:hAnsi="仿宋" w:cs="Times New Roman"/>
          <w:color w:val="auto"/>
          <w:sz w:val="32"/>
          <w:szCs w:val="32"/>
        </w:rPr>
        <w:t>”</w:t>
      </w:r>
      <w:r>
        <w:rPr>
          <w:rFonts w:ascii="仿宋" w:eastAsia="仿宋" w:hAnsi="仿宋" w:cs="仿宋_GB2312" w:hint="eastAsia"/>
          <w:color w:val="auto"/>
          <w:sz w:val="32"/>
          <w:szCs w:val="32"/>
        </w:rPr>
        <w:t>是党中央对行政执法的基本要求，也是法治政府建设的重要指标。建议各行政机关强化证据意识，严把案件事实关，及时固定、全面审核证据，确保案件认定事实清楚。要严格按照有关规定，落实行政执法公示制度、执法全过程记录制度、重大执法决定法制审核制度，遵守法定程序，确保程序正当，避免因程序违法被法院判决败诉。在保证行政行为合法性的前提下，创新行政执法方式，推进政务诚信，做到合法性与合理性的有机统一，将文明执法落到实处。针对违法行为，要及时主动纠错，尽量减少行政纠纷进入复议、诉讼的数量，最大限度减少当事人诉累。针对带有普遍性的问题，要及时总结经验，避免同类案件再次败诉，努力实现行政诉讼败诉率不高于上一年度全国行政诉讼败诉率平均值的目标要求。</w:t>
      </w:r>
      <w:r>
        <w:rPr>
          <w:rFonts w:ascii="仿宋" w:eastAsia="仿宋" w:hAnsi="仿宋" w:cs="仿宋_GB2312"/>
          <w:color w:val="auto"/>
          <w:sz w:val="32"/>
          <w:szCs w:val="32"/>
        </w:rPr>
        <w:t xml:space="preserve"> </w:t>
      </w:r>
    </w:p>
    <w:p w:rsidR="00976DC7" w:rsidRDefault="007922AC">
      <w:pPr>
        <w:autoSpaceDE w:val="0"/>
        <w:autoSpaceDN w:val="0"/>
        <w:adjustRightInd w:val="0"/>
        <w:spacing w:line="560" w:lineRule="exact"/>
        <w:ind w:firstLineChars="196" w:firstLine="630"/>
        <w:rPr>
          <w:rFonts w:ascii="楷体" w:eastAsia="楷体" w:hAnsi="楷体" w:cs="楷体_GB2312"/>
          <w:b/>
          <w:kern w:val="0"/>
          <w:sz w:val="32"/>
          <w:szCs w:val="32"/>
        </w:rPr>
      </w:pPr>
      <w:r>
        <w:rPr>
          <w:rFonts w:ascii="楷体" w:eastAsia="楷体" w:hAnsi="楷体" w:cs="楷体_GB2312" w:hint="eastAsia"/>
          <w:b/>
          <w:kern w:val="0"/>
          <w:sz w:val="32"/>
          <w:szCs w:val="32"/>
        </w:rPr>
        <w:t>（二）进一步提升诉讼参与水平</w:t>
      </w:r>
      <w:r>
        <w:rPr>
          <w:rFonts w:ascii="楷体" w:eastAsia="楷体" w:hAnsi="楷体" w:cs="楷体_GB2312"/>
          <w:b/>
          <w:kern w:val="0"/>
          <w:sz w:val="32"/>
          <w:szCs w:val="32"/>
        </w:rPr>
        <w:t xml:space="preserve"> </w:t>
      </w:r>
    </w:p>
    <w:p w:rsidR="00976DC7" w:rsidRDefault="007922AC">
      <w:pPr>
        <w:autoSpaceDE w:val="0"/>
        <w:autoSpaceDN w:val="0"/>
        <w:adjustRightInd w:val="0"/>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行政机关负责人按规定出庭应诉；对于涉及重大公共利益的案件、社会高度关注的案件、可能引发群体性事件的案件、检察机关提起的行政公益诉讼案件等，被诉行政机关负</w:t>
      </w:r>
      <w:r>
        <w:rPr>
          <w:rFonts w:ascii="仿宋" w:eastAsia="仿宋" w:hAnsi="仿宋" w:cs="仿宋_GB2312" w:hint="eastAsia"/>
          <w:kern w:val="0"/>
          <w:sz w:val="32"/>
          <w:szCs w:val="32"/>
        </w:rPr>
        <w:lastRenderedPageBreak/>
        <w:t>责人出庭率达</w:t>
      </w:r>
      <w:r>
        <w:rPr>
          <w:rFonts w:ascii="仿宋" w:eastAsia="仿宋" w:hAnsi="仿宋"/>
          <w:kern w:val="0"/>
          <w:sz w:val="32"/>
          <w:szCs w:val="32"/>
        </w:rPr>
        <w:t>100%</w:t>
      </w:r>
      <w:r>
        <w:rPr>
          <w:rFonts w:ascii="仿宋" w:eastAsia="仿宋" w:hAnsi="仿宋" w:cs="仿宋_GB2312" w:hint="eastAsia"/>
          <w:kern w:val="0"/>
          <w:sz w:val="32"/>
          <w:szCs w:val="32"/>
        </w:rPr>
        <w:t>是法治政府建设的重要指标。目前各行政机关负责人出庭应诉率低于全省平均水平，更低于上述指标要求。建议行政机关负责人严格按照《中华人民共和国行政诉讼法》《吉林省行政应诉办法》的有关规定出庭应诉。庭审前，要充分了解案情，积极沟通协调；庭审中，要针对争议焦点，充分发表意见；判决生效后，要协助及时履行判决，通过主动接受监督，共同推进行政争议的实质解决。不能出庭应诉的，要及时反馈有关情况。建议加强对出庭应诉人员业务培训和选聘律师的管理考核，常态化开展行政机关工作人员庭审旁听活动，切实提高出庭应诉人员的专业能力和基本素质，确保严格按照行政诉讼法及其司法解释的规定提供证据、举证质证，切实维护行政机关合法权益。</w:t>
      </w:r>
      <w:r>
        <w:rPr>
          <w:rFonts w:ascii="仿宋" w:eastAsia="仿宋" w:hAnsi="仿宋" w:cs="仿宋_GB2312"/>
          <w:kern w:val="0"/>
          <w:sz w:val="32"/>
          <w:szCs w:val="32"/>
        </w:rPr>
        <w:t xml:space="preserve"> </w:t>
      </w:r>
    </w:p>
    <w:p w:rsidR="00976DC7" w:rsidRDefault="007922AC">
      <w:pPr>
        <w:autoSpaceDE w:val="0"/>
        <w:autoSpaceDN w:val="0"/>
        <w:adjustRightInd w:val="0"/>
        <w:spacing w:line="560" w:lineRule="exact"/>
        <w:ind w:firstLineChars="200" w:firstLine="643"/>
        <w:rPr>
          <w:rFonts w:ascii="楷体" w:eastAsia="楷体" w:hAnsi="楷体"/>
          <w:b/>
          <w:kern w:val="0"/>
          <w:sz w:val="32"/>
          <w:szCs w:val="32"/>
        </w:rPr>
      </w:pPr>
      <w:r>
        <w:rPr>
          <w:rFonts w:ascii="楷体" w:eastAsia="楷体" w:hAnsi="楷体" w:cs="楷体_GB2312" w:hint="eastAsia"/>
          <w:b/>
          <w:kern w:val="0"/>
          <w:sz w:val="32"/>
          <w:szCs w:val="32"/>
        </w:rPr>
        <w:t>（三）进一步加强</w:t>
      </w:r>
      <w:r>
        <w:rPr>
          <w:rFonts w:ascii="楷体" w:eastAsia="楷体" w:hAnsi="楷体"/>
          <w:b/>
          <w:bCs/>
          <w:kern w:val="0"/>
          <w:sz w:val="32"/>
          <w:szCs w:val="32"/>
        </w:rPr>
        <w:t>“</w:t>
      </w:r>
      <w:r>
        <w:rPr>
          <w:rFonts w:ascii="楷体" w:eastAsia="楷体" w:hAnsi="楷体" w:cs="楷体_GB2312" w:hint="eastAsia"/>
          <w:b/>
          <w:kern w:val="0"/>
          <w:sz w:val="32"/>
          <w:szCs w:val="32"/>
        </w:rPr>
        <w:t>府院联动</w:t>
      </w:r>
      <w:r>
        <w:rPr>
          <w:rFonts w:ascii="楷体" w:eastAsia="楷体" w:hAnsi="楷体"/>
          <w:b/>
          <w:bCs/>
          <w:kern w:val="0"/>
          <w:sz w:val="32"/>
          <w:szCs w:val="32"/>
        </w:rPr>
        <w:t xml:space="preserve">” </w:t>
      </w:r>
    </w:p>
    <w:p w:rsidR="00976DC7" w:rsidRDefault="007922AC">
      <w:pPr>
        <w:autoSpaceDE w:val="0"/>
        <w:autoSpaceDN w:val="0"/>
        <w:adjustRightInd w:val="0"/>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通过与案件较多的行政机关召开专题座谈会，共同研究问题，联合出台机制。就案件审理中发现的问题及时向有关部门建议反馈，加强与败诉案件较多的行政机关进行沟通，及时就有关问题共同探讨解决方案，避免败诉案件再次发生。增强共同化解矛盾纠纷意识。</w:t>
      </w:r>
      <w:r>
        <w:rPr>
          <w:rFonts w:ascii="仿宋" w:eastAsia="仿宋" w:hAnsi="仿宋"/>
          <w:kern w:val="0"/>
          <w:sz w:val="32"/>
          <w:szCs w:val="32"/>
        </w:rPr>
        <w:t>“</w:t>
      </w:r>
      <w:r>
        <w:rPr>
          <w:rFonts w:ascii="仿宋" w:eastAsia="仿宋" w:hAnsi="仿宋" w:cs="仿宋_GB2312" w:hint="eastAsia"/>
          <w:kern w:val="0"/>
          <w:sz w:val="32"/>
          <w:szCs w:val="32"/>
        </w:rPr>
        <w:t>府院联动</w:t>
      </w:r>
      <w:r>
        <w:rPr>
          <w:rFonts w:ascii="仿宋" w:eastAsia="仿宋" w:hAnsi="仿宋"/>
          <w:kern w:val="0"/>
          <w:sz w:val="32"/>
          <w:szCs w:val="32"/>
        </w:rPr>
        <w:t>”</w:t>
      </w:r>
      <w:r>
        <w:rPr>
          <w:rFonts w:ascii="仿宋" w:eastAsia="仿宋" w:hAnsi="仿宋" w:cs="仿宋_GB2312" w:hint="eastAsia"/>
          <w:kern w:val="0"/>
          <w:sz w:val="32"/>
          <w:szCs w:val="32"/>
        </w:rPr>
        <w:t>是实现</w:t>
      </w:r>
      <w:r>
        <w:rPr>
          <w:rFonts w:ascii="仿宋" w:eastAsia="仿宋" w:hAnsi="仿宋"/>
          <w:kern w:val="0"/>
          <w:sz w:val="32"/>
          <w:szCs w:val="32"/>
        </w:rPr>
        <w:t>“</w:t>
      </w:r>
      <w:r>
        <w:rPr>
          <w:rFonts w:ascii="仿宋" w:eastAsia="仿宋" w:hAnsi="仿宋" w:cs="仿宋_GB2312" w:hint="eastAsia"/>
          <w:kern w:val="0"/>
          <w:sz w:val="32"/>
          <w:szCs w:val="32"/>
        </w:rPr>
        <w:t>官</w:t>
      </w:r>
      <w:r>
        <w:rPr>
          <w:rFonts w:ascii="仿宋" w:eastAsia="仿宋" w:hAnsi="仿宋"/>
          <w:kern w:val="0"/>
          <w:sz w:val="32"/>
          <w:szCs w:val="32"/>
        </w:rPr>
        <w:t>”</w:t>
      </w:r>
      <w:r>
        <w:rPr>
          <w:rFonts w:ascii="仿宋" w:eastAsia="仿宋" w:hAnsi="仿宋" w:cs="仿宋_GB2312" w:hint="eastAsia"/>
          <w:kern w:val="0"/>
          <w:sz w:val="32"/>
          <w:szCs w:val="32"/>
        </w:rPr>
        <w:t>民和谐的重要机制。</w:t>
      </w:r>
    </w:p>
    <w:p w:rsidR="00976DC7" w:rsidRDefault="007922AC">
      <w:pPr>
        <w:autoSpaceDE w:val="0"/>
        <w:autoSpaceDN w:val="0"/>
        <w:adjustRightInd w:val="0"/>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德惠法院要充分发挥行政审判职能作用，继续加强与各行政机关尤其是司法行政机关的沟通联络，按照《关于建立府院联动机制的意见》的有关内容进一步加强沟通互动。通过定期通报工作情况，共同研究疑难问题等方式，统一行政执法与司法裁判的尺度，从源头上预防和化解行政纠纷。要</w:t>
      </w:r>
      <w:r>
        <w:rPr>
          <w:rFonts w:ascii="仿宋" w:eastAsia="仿宋" w:hAnsi="仿宋" w:cs="仿宋_GB2312" w:hint="eastAsia"/>
          <w:kern w:val="0"/>
          <w:sz w:val="32"/>
          <w:szCs w:val="32"/>
        </w:rPr>
        <w:lastRenderedPageBreak/>
        <w:t>加强行政裁决、行政复议、诉讼等矛盾纠纷多元化解机制有机衔接，健全依法化解纠纷机制，共同化解行政争议。针对案件审理中发现的问题，法院要及时发送司法建议并跟踪建议办理情况，行政机关要及时反馈建议办理情况，及时改进有关问题。要积极探索</w:t>
      </w:r>
      <w:r>
        <w:rPr>
          <w:rFonts w:ascii="仿宋" w:eastAsia="仿宋" w:hAnsi="仿宋"/>
          <w:kern w:val="0"/>
          <w:sz w:val="32"/>
          <w:szCs w:val="32"/>
        </w:rPr>
        <w:t>“</w:t>
      </w:r>
      <w:r>
        <w:rPr>
          <w:rFonts w:ascii="仿宋" w:eastAsia="仿宋" w:hAnsi="仿宋" w:cs="仿宋_GB2312" w:hint="eastAsia"/>
          <w:kern w:val="0"/>
          <w:sz w:val="32"/>
          <w:szCs w:val="32"/>
        </w:rPr>
        <w:t>大数据</w:t>
      </w:r>
      <w:r>
        <w:rPr>
          <w:rFonts w:ascii="仿宋" w:eastAsia="仿宋" w:hAnsi="仿宋"/>
          <w:kern w:val="0"/>
          <w:sz w:val="32"/>
          <w:szCs w:val="32"/>
        </w:rPr>
        <w:t>”</w:t>
      </w:r>
      <w:r>
        <w:rPr>
          <w:rFonts w:ascii="仿宋" w:eastAsia="仿宋" w:hAnsi="仿宋" w:cs="仿宋_GB2312" w:hint="eastAsia"/>
          <w:kern w:val="0"/>
          <w:sz w:val="32"/>
          <w:szCs w:val="32"/>
        </w:rPr>
        <w:t>，尤其是涉法治政府建设有关数据的信息共享与深度应用，形成法治政府建设合力。</w:t>
      </w:r>
      <w:r>
        <w:rPr>
          <w:rFonts w:ascii="仿宋" w:eastAsia="仿宋" w:hAnsi="仿宋" w:cs="仿宋_GB2312"/>
          <w:kern w:val="0"/>
          <w:sz w:val="32"/>
          <w:szCs w:val="32"/>
        </w:rPr>
        <w:t xml:space="preserve"> </w:t>
      </w:r>
    </w:p>
    <w:p w:rsidR="00976DC7" w:rsidRDefault="007922AC">
      <w:pPr>
        <w:spacing w:line="560" w:lineRule="exact"/>
        <w:ind w:firstLineChars="200" w:firstLine="640"/>
        <w:rPr>
          <w:rFonts w:ascii="黑体" w:eastAsia="黑体" w:hAnsi="黑体"/>
          <w:bCs/>
          <w:color w:val="000000"/>
          <w:sz w:val="32"/>
          <w:szCs w:val="32"/>
        </w:rPr>
      </w:pPr>
      <w:r>
        <w:rPr>
          <w:rFonts w:ascii="黑体" w:eastAsia="黑体" w:hAnsi="黑体" w:cs="楷体_GB2312" w:hint="eastAsia"/>
          <w:bCs/>
          <w:color w:val="000000"/>
          <w:sz w:val="32"/>
          <w:szCs w:val="32"/>
        </w:rPr>
        <w:t>五、</w:t>
      </w:r>
      <w:r>
        <w:rPr>
          <w:rFonts w:ascii="黑体" w:eastAsia="黑体" w:hAnsi="黑体" w:cs="黑体" w:hint="eastAsia"/>
          <w:sz w:val="32"/>
          <w:szCs w:val="32"/>
        </w:rPr>
        <w:t>下一步</w:t>
      </w:r>
      <w:r>
        <w:rPr>
          <w:rFonts w:ascii="黑体" w:eastAsia="黑体" w:hAnsi="黑体" w:cs="楷体_GB2312" w:hint="eastAsia"/>
          <w:bCs/>
          <w:color w:val="000000"/>
          <w:sz w:val="32"/>
          <w:szCs w:val="32"/>
        </w:rPr>
        <w:t>工作措施</w:t>
      </w:r>
    </w:p>
    <w:p w:rsidR="00976DC7" w:rsidRDefault="007922A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下一步，德惠法院将继续增强责任感和使命感，不断提升行政审判工作水平。</w:t>
      </w:r>
    </w:p>
    <w:p w:rsidR="00976DC7" w:rsidRDefault="007922AC">
      <w:pPr>
        <w:spacing w:line="560" w:lineRule="exact"/>
        <w:ind w:firstLineChars="200" w:firstLine="643"/>
        <w:rPr>
          <w:rFonts w:ascii="仿宋" w:eastAsia="仿宋" w:hAnsi="仿宋" w:cs="仿宋_GB2312"/>
          <w:sz w:val="32"/>
          <w:szCs w:val="32"/>
        </w:rPr>
      </w:pPr>
      <w:r>
        <w:rPr>
          <w:rFonts w:ascii="楷体" w:eastAsia="楷体" w:hAnsi="楷体" w:cs="仿宋_GB2312" w:hint="eastAsia"/>
          <w:b/>
          <w:sz w:val="32"/>
          <w:szCs w:val="32"/>
        </w:rPr>
        <w:t>一是要将府院联动机制继续深入推进落实。</w:t>
      </w:r>
      <w:r>
        <w:rPr>
          <w:rFonts w:ascii="仿宋" w:eastAsia="仿宋" w:hAnsi="仿宋" w:cs="仿宋_GB2312" w:hint="eastAsia"/>
          <w:sz w:val="32"/>
          <w:szCs w:val="32"/>
        </w:rPr>
        <w:t>依托行政争议协调化解中心，不断健全府院联动机制，通过司法与行政的良性互动，坚持源头治理，要将非诉诉纠纷解决机制挺在前面，积极融入“共建公治共享社会治理大格局”，充分发挥</w:t>
      </w:r>
      <w:r>
        <w:rPr>
          <w:rFonts w:ascii="仿宋" w:eastAsia="仿宋" w:hAnsi="仿宋" w:hint="eastAsia"/>
          <w:kern w:val="0"/>
          <w:sz w:val="32"/>
        </w:rPr>
        <w:t>行政争议协调化解中心作用，</w:t>
      </w:r>
      <w:r>
        <w:rPr>
          <w:rFonts w:ascii="仿宋" w:eastAsia="仿宋" w:hAnsi="仿宋" w:cs="仿宋_GB2312" w:hint="eastAsia"/>
          <w:sz w:val="32"/>
          <w:szCs w:val="32"/>
        </w:rPr>
        <w:t>实质性化解行政争议。</w:t>
      </w:r>
    </w:p>
    <w:p w:rsidR="00976DC7" w:rsidRDefault="007922AC">
      <w:pPr>
        <w:spacing w:line="560" w:lineRule="exact"/>
        <w:ind w:firstLineChars="200" w:firstLine="643"/>
        <w:rPr>
          <w:rFonts w:ascii="仿宋" w:eastAsia="仿宋" w:hAnsi="仿宋" w:cs="仿宋_GB2312"/>
          <w:sz w:val="32"/>
          <w:szCs w:val="32"/>
        </w:rPr>
      </w:pPr>
      <w:r>
        <w:rPr>
          <w:rFonts w:ascii="楷体" w:eastAsia="楷体" w:hAnsi="楷体" w:cs="仿宋_GB2312" w:hint="eastAsia"/>
          <w:b/>
          <w:sz w:val="32"/>
          <w:szCs w:val="32"/>
        </w:rPr>
        <w:t>二是继续做好行政审判工作。</w:t>
      </w:r>
      <w:r>
        <w:rPr>
          <w:rFonts w:ascii="仿宋" w:eastAsia="仿宋" w:hAnsi="仿宋" w:cs="仿宋_GB2312" w:hint="eastAsia"/>
          <w:sz w:val="32"/>
          <w:szCs w:val="32"/>
        </w:rPr>
        <w:t>坚持司法为民、公正司法，既有效维护行政相对人合法权益，又依法支持行政机关发挥经济调控、市场监管、公共服务、社会管理等职能；加强信息技术在行政审判工作中的应用，继续做好司法公开；完善行政案件审理方式，提高行政审判质效。</w:t>
      </w:r>
    </w:p>
    <w:p w:rsidR="00976DC7" w:rsidRDefault="007922AC">
      <w:pPr>
        <w:spacing w:line="560" w:lineRule="exact"/>
        <w:ind w:firstLineChars="200" w:firstLine="643"/>
        <w:rPr>
          <w:rFonts w:ascii="仿宋" w:eastAsia="仿宋" w:hAnsi="仿宋" w:cs="仿宋_GB2312"/>
          <w:sz w:val="32"/>
          <w:szCs w:val="32"/>
        </w:rPr>
      </w:pPr>
      <w:r>
        <w:rPr>
          <w:rFonts w:ascii="楷体" w:eastAsia="楷体" w:hAnsi="楷体" w:cs="仿宋_GB2312" w:hint="eastAsia"/>
          <w:b/>
          <w:sz w:val="32"/>
          <w:szCs w:val="32"/>
        </w:rPr>
        <w:t>三是继续加强行政</w:t>
      </w:r>
      <w:r>
        <w:rPr>
          <w:rFonts w:ascii="楷体" w:eastAsia="楷体" w:hAnsi="楷体" w:cs="仿宋_GB2312"/>
          <w:b/>
          <w:sz w:val="32"/>
          <w:szCs w:val="32"/>
        </w:rPr>
        <w:t>审判</w:t>
      </w:r>
      <w:r>
        <w:rPr>
          <w:rFonts w:ascii="楷体" w:eastAsia="楷体" w:hAnsi="楷体" w:cs="仿宋_GB2312" w:hint="eastAsia"/>
          <w:b/>
          <w:sz w:val="32"/>
          <w:szCs w:val="32"/>
        </w:rPr>
        <w:t>队伍建设。</w:t>
      </w:r>
      <w:r>
        <w:rPr>
          <w:rFonts w:ascii="仿宋" w:eastAsia="仿宋" w:hAnsi="仿宋" w:cs="仿宋_GB2312" w:hint="eastAsia"/>
          <w:sz w:val="32"/>
          <w:szCs w:val="32"/>
        </w:rPr>
        <w:t>培树优秀人才，不断提升行政审判法官司法为民、公正司法的能力和水平。持之以恒加强党风廉政建设和反腐败工作，不断提高行政审判法官拒腐防变能力。</w:t>
      </w:r>
    </w:p>
    <w:p w:rsidR="00976DC7" w:rsidRDefault="007922AC" w:rsidP="00054623">
      <w:pPr>
        <w:spacing w:line="560" w:lineRule="exact"/>
        <w:ind w:firstLineChars="200" w:firstLine="640"/>
        <w:rPr>
          <w:rFonts w:ascii="仿宋" w:eastAsia="仿宋" w:hAnsi="仿宋"/>
          <w:sz w:val="32"/>
          <w:szCs w:val="32"/>
        </w:rPr>
      </w:pPr>
      <w:r>
        <w:rPr>
          <w:rFonts w:ascii="仿宋" w:eastAsia="仿宋" w:hAnsi="仿宋" w:cs="仿宋_GB2312" w:hint="eastAsia"/>
          <w:sz w:val="32"/>
          <w:szCs w:val="32"/>
        </w:rPr>
        <w:t>德惠法院将进一步提升行政审判工作质量，为加快法治</w:t>
      </w:r>
      <w:r>
        <w:rPr>
          <w:rFonts w:ascii="仿宋" w:eastAsia="仿宋" w:hAnsi="仿宋" w:cs="仿宋_GB2312" w:hint="eastAsia"/>
          <w:sz w:val="32"/>
          <w:szCs w:val="32"/>
        </w:rPr>
        <w:lastRenderedPageBreak/>
        <w:t>政府建设、推进我市行政机关治理体系和治理能力现代化、服务德惠振兴发展大局，作出新的更大的贡献。</w:t>
      </w: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Default="00976DC7">
      <w:pPr>
        <w:autoSpaceDE w:val="0"/>
        <w:autoSpaceDN w:val="0"/>
        <w:adjustRightInd w:val="0"/>
        <w:spacing w:line="560" w:lineRule="exact"/>
        <w:rPr>
          <w:rFonts w:ascii="仿宋" w:eastAsia="仿宋" w:hAnsi="仿宋"/>
          <w:sz w:val="32"/>
          <w:szCs w:val="32"/>
        </w:rPr>
      </w:pPr>
    </w:p>
    <w:p w:rsidR="00976DC7" w:rsidRPr="00BF0AA8" w:rsidRDefault="00976DC7">
      <w:pPr>
        <w:spacing w:line="10" w:lineRule="atLeast"/>
        <w:rPr>
          <w:rFonts w:ascii="仿宋" w:eastAsia="仿宋" w:hAnsi="仿宋"/>
          <w:sz w:val="32"/>
          <w:szCs w:val="32"/>
        </w:rPr>
      </w:pPr>
      <w:bookmarkStart w:id="0" w:name="_GoBack"/>
      <w:bookmarkEnd w:id="0"/>
    </w:p>
    <w:sectPr w:rsidR="00976DC7" w:rsidRPr="00BF0AA8" w:rsidSect="00976DC7">
      <w:headerReference w:type="default" r:id="rId8"/>
      <w:footerReference w:type="default" r:id="rId9"/>
      <w:headerReference w:type="first" r:id="rId10"/>
      <w:foot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102" w:rsidRDefault="00877102" w:rsidP="00976DC7">
      <w:r>
        <w:separator/>
      </w:r>
    </w:p>
  </w:endnote>
  <w:endnote w:type="continuationSeparator" w:id="1">
    <w:p w:rsidR="00877102" w:rsidRDefault="00877102" w:rsidP="00976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C7" w:rsidRDefault="00C754A9">
    <w:pPr>
      <w:pStyle w:val="a3"/>
      <w:jc w:val="center"/>
      <w:rPr>
        <w:rFonts w:ascii="Times New Roman" w:hAnsi="Times New Roman" w:cs="Times New Roman"/>
        <w:sz w:val="24"/>
        <w:szCs w:val="24"/>
      </w:rPr>
    </w:pPr>
    <w:r w:rsidRPr="00C754A9">
      <w:rPr>
        <w:sz w:val="24"/>
      </w:rP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600602"/>
                </w:sdtPr>
                <w:sdtEndPr>
                  <w:rPr>
                    <w:rFonts w:ascii="Times New Roman" w:hAnsi="Times New Roman" w:cs="Times New Roman"/>
                    <w:sz w:val="24"/>
                    <w:szCs w:val="24"/>
                  </w:rPr>
                </w:sdtEndPr>
                <w:sdtContent>
                  <w:p w:rsidR="00976DC7" w:rsidRDefault="00C754A9">
                    <w:pPr>
                      <w:pStyle w:val="a3"/>
                      <w:jc w:val="center"/>
                      <w:rPr>
                        <w:rFonts w:ascii="Times New Roman" w:hAnsi="Times New Roman" w:cs="Times New Roman"/>
                        <w:sz w:val="24"/>
                        <w:szCs w:val="24"/>
                      </w:rPr>
                    </w:pPr>
                    <w:r>
                      <w:rPr>
                        <w:rFonts w:ascii="Times New Roman" w:hAnsi="Times New Roman" w:cs="Times New Roman"/>
                        <w:sz w:val="24"/>
                        <w:szCs w:val="24"/>
                      </w:rPr>
                      <w:fldChar w:fldCharType="begin"/>
                    </w:r>
                    <w:r w:rsidR="007922A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F0AA8" w:rsidRPr="00BF0AA8">
                      <w:rPr>
                        <w:rFonts w:ascii="Times New Roman" w:hAnsi="Times New Roman" w:cs="Times New Roman"/>
                        <w:noProof/>
                        <w:sz w:val="24"/>
                        <w:szCs w:val="24"/>
                        <w:lang w:val="zh-CN"/>
                      </w:rPr>
                      <w:t>7</w:t>
                    </w:r>
                    <w:r>
                      <w:rPr>
                        <w:rFonts w:ascii="Times New Roman" w:hAnsi="Times New Roman" w:cs="Times New Roman"/>
                        <w:sz w:val="24"/>
                        <w:szCs w:val="24"/>
                      </w:rPr>
                      <w:fldChar w:fldCharType="end"/>
                    </w:r>
                  </w:p>
                </w:sdtContent>
              </w:sdt>
              <w:p w:rsidR="00976DC7" w:rsidRDefault="00976DC7">
                <w:pPr>
                  <w:rPr>
                    <w:rFonts w:ascii="Times New Roman" w:hAnsi="Times New Roman" w:cs="Times New Roman"/>
                    <w:sz w:val="24"/>
                    <w:szCs w:val="24"/>
                  </w:rPr>
                </w:pPr>
              </w:p>
            </w:txbxContent>
          </v:textbox>
          <w10:wrap anchorx="margin"/>
        </v:shape>
      </w:pict>
    </w:r>
  </w:p>
  <w:p w:rsidR="00976DC7" w:rsidRDefault="00976DC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C7" w:rsidRDefault="00976D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102" w:rsidRDefault="00877102" w:rsidP="00976DC7">
      <w:r>
        <w:separator/>
      </w:r>
    </w:p>
  </w:footnote>
  <w:footnote w:type="continuationSeparator" w:id="1">
    <w:p w:rsidR="00877102" w:rsidRDefault="00877102" w:rsidP="00976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C7" w:rsidRDefault="00976DC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C7" w:rsidRDefault="00976DC7">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EF5"/>
    <w:rsid w:val="00000D2F"/>
    <w:rsid w:val="0002397D"/>
    <w:rsid w:val="00030F10"/>
    <w:rsid w:val="00054623"/>
    <w:rsid w:val="00097108"/>
    <w:rsid w:val="000A5821"/>
    <w:rsid w:val="000B3BE2"/>
    <w:rsid w:val="000B6BD6"/>
    <w:rsid w:val="000F3FAA"/>
    <w:rsid w:val="000F5ACE"/>
    <w:rsid w:val="00114949"/>
    <w:rsid w:val="00150AE4"/>
    <w:rsid w:val="00176ADD"/>
    <w:rsid w:val="00194010"/>
    <w:rsid w:val="001B5D74"/>
    <w:rsid w:val="001D4433"/>
    <w:rsid w:val="001D72CC"/>
    <w:rsid w:val="001E5FB4"/>
    <w:rsid w:val="00204511"/>
    <w:rsid w:val="002102CE"/>
    <w:rsid w:val="002105D2"/>
    <w:rsid w:val="00215C6F"/>
    <w:rsid w:val="00216553"/>
    <w:rsid w:val="00234D5C"/>
    <w:rsid w:val="00251459"/>
    <w:rsid w:val="0026059F"/>
    <w:rsid w:val="00261CBB"/>
    <w:rsid w:val="00270C17"/>
    <w:rsid w:val="00276420"/>
    <w:rsid w:val="0028780C"/>
    <w:rsid w:val="00287989"/>
    <w:rsid w:val="00291517"/>
    <w:rsid w:val="002C5B82"/>
    <w:rsid w:val="002F1673"/>
    <w:rsid w:val="002F2E07"/>
    <w:rsid w:val="003060C8"/>
    <w:rsid w:val="00311E1B"/>
    <w:rsid w:val="00321953"/>
    <w:rsid w:val="00322A9E"/>
    <w:rsid w:val="00323F52"/>
    <w:rsid w:val="00330445"/>
    <w:rsid w:val="00351513"/>
    <w:rsid w:val="00365DE9"/>
    <w:rsid w:val="00367E6D"/>
    <w:rsid w:val="00375B70"/>
    <w:rsid w:val="003764C4"/>
    <w:rsid w:val="00382C67"/>
    <w:rsid w:val="00386A10"/>
    <w:rsid w:val="00392084"/>
    <w:rsid w:val="003A0BC1"/>
    <w:rsid w:val="003A75D3"/>
    <w:rsid w:val="003B4A31"/>
    <w:rsid w:val="003C1BD1"/>
    <w:rsid w:val="003C7B66"/>
    <w:rsid w:val="003D7B07"/>
    <w:rsid w:val="003E6BE1"/>
    <w:rsid w:val="003F4787"/>
    <w:rsid w:val="00430F0F"/>
    <w:rsid w:val="0044298E"/>
    <w:rsid w:val="0044680A"/>
    <w:rsid w:val="00475466"/>
    <w:rsid w:val="004A1495"/>
    <w:rsid w:val="004A46DC"/>
    <w:rsid w:val="004E4C6F"/>
    <w:rsid w:val="004F297A"/>
    <w:rsid w:val="004F3591"/>
    <w:rsid w:val="00511B80"/>
    <w:rsid w:val="00513361"/>
    <w:rsid w:val="00515E3B"/>
    <w:rsid w:val="0052095E"/>
    <w:rsid w:val="00524CDF"/>
    <w:rsid w:val="0054461F"/>
    <w:rsid w:val="005B5E30"/>
    <w:rsid w:val="005C3AAC"/>
    <w:rsid w:val="005D60DC"/>
    <w:rsid w:val="005F799D"/>
    <w:rsid w:val="00602F7F"/>
    <w:rsid w:val="00604606"/>
    <w:rsid w:val="006067AB"/>
    <w:rsid w:val="00607DE2"/>
    <w:rsid w:val="00611469"/>
    <w:rsid w:val="00616CF9"/>
    <w:rsid w:val="00620419"/>
    <w:rsid w:val="00660138"/>
    <w:rsid w:val="00666AC0"/>
    <w:rsid w:val="0067100D"/>
    <w:rsid w:val="00684D80"/>
    <w:rsid w:val="006A33A0"/>
    <w:rsid w:val="006A541C"/>
    <w:rsid w:val="006C006C"/>
    <w:rsid w:val="006C584F"/>
    <w:rsid w:val="006D3B69"/>
    <w:rsid w:val="006E24C6"/>
    <w:rsid w:val="006E40BF"/>
    <w:rsid w:val="006F169E"/>
    <w:rsid w:val="00702229"/>
    <w:rsid w:val="007054B9"/>
    <w:rsid w:val="0071299E"/>
    <w:rsid w:val="0072211A"/>
    <w:rsid w:val="007301E5"/>
    <w:rsid w:val="00753777"/>
    <w:rsid w:val="00756FB9"/>
    <w:rsid w:val="00785DB3"/>
    <w:rsid w:val="007922AC"/>
    <w:rsid w:val="007A6DA7"/>
    <w:rsid w:val="007B0C1D"/>
    <w:rsid w:val="007B6F8A"/>
    <w:rsid w:val="007D11C2"/>
    <w:rsid w:val="007F4C53"/>
    <w:rsid w:val="00801FD7"/>
    <w:rsid w:val="00814137"/>
    <w:rsid w:val="00844743"/>
    <w:rsid w:val="00852428"/>
    <w:rsid w:val="00871EF9"/>
    <w:rsid w:val="00873823"/>
    <w:rsid w:val="00877102"/>
    <w:rsid w:val="00886F6A"/>
    <w:rsid w:val="008957EF"/>
    <w:rsid w:val="008C6254"/>
    <w:rsid w:val="008D22D2"/>
    <w:rsid w:val="008E2F60"/>
    <w:rsid w:val="008E40A0"/>
    <w:rsid w:val="008E4200"/>
    <w:rsid w:val="00901A0A"/>
    <w:rsid w:val="00904F24"/>
    <w:rsid w:val="009221DA"/>
    <w:rsid w:val="00932953"/>
    <w:rsid w:val="00941FD1"/>
    <w:rsid w:val="0097204F"/>
    <w:rsid w:val="00973C60"/>
    <w:rsid w:val="00976DC7"/>
    <w:rsid w:val="00992873"/>
    <w:rsid w:val="00993513"/>
    <w:rsid w:val="00993B5F"/>
    <w:rsid w:val="009C6F43"/>
    <w:rsid w:val="009D4067"/>
    <w:rsid w:val="009D7131"/>
    <w:rsid w:val="009E7791"/>
    <w:rsid w:val="009F53BD"/>
    <w:rsid w:val="00A06731"/>
    <w:rsid w:val="00A328D1"/>
    <w:rsid w:val="00A348F8"/>
    <w:rsid w:val="00A425DD"/>
    <w:rsid w:val="00A43EF5"/>
    <w:rsid w:val="00A4614B"/>
    <w:rsid w:val="00A56D2F"/>
    <w:rsid w:val="00A62F40"/>
    <w:rsid w:val="00A7109A"/>
    <w:rsid w:val="00A74D22"/>
    <w:rsid w:val="00A91C93"/>
    <w:rsid w:val="00AA55DA"/>
    <w:rsid w:val="00AB62D4"/>
    <w:rsid w:val="00AB668D"/>
    <w:rsid w:val="00AB7614"/>
    <w:rsid w:val="00AD2E97"/>
    <w:rsid w:val="00AD570A"/>
    <w:rsid w:val="00B21E0D"/>
    <w:rsid w:val="00B2351B"/>
    <w:rsid w:val="00B35D7F"/>
    <w:rsid w:val="00BC7881"/>
    <w:rsid w:val="00BD708E"/>
    <w:rsid w:val="00BE538D"/>
    <w:rsid w:val="00BF0AA8"/>
    <w:rsid w:val="00BF5915"/>
    <w:rsid w:val="00C04E42"/>
    <w:rsid w:val="00C149E0"/>
    <w:rsid w:val="00C23821"/>
    <w:rsid w:val="00C23958"/>
    <w:rsid w:val="00C35E43"/>
    <w:rsid w:val="00C3659B"/>
    <w:rsid w:val="00C46FF0"/>
    <w:rsid w:val="00C61309"/>
    <w:rsid w:val="00C754A9"/>
    <w:rsid w:val="00C81299"/>
    <w:rsid w:val="00CB576F"/>
    <w:rsid w:val="00CC1DDC"/>
    <w:rsid w:val="00CE2E33"/>
    <w:rsid w:val="00CE38EB"/>
    <w:rsid w:val="00CF27B9"/>
    <w:rsid w:val="00CF4CC4"/>
    <w:rsid w:val="00D03058"/>
    <w:rsid w:val="00D13FAB"/>
    <w:rsid w:val="00D30C5C"/>
    <w:rsid w:val="00D54465"/>
    <w:rsid w:val="00D57597"/>
    <w:rsid w:val="00D64AB0"/>
    <w:rsid w:val="00D66C14"/>
    <w:rsid w:val="00D71974"/>
    <w:rsid w:val="00D71ADA"/>
    <w:rsid w:val="00D74DCD"/>
    <w:rsid w:val="00D83731"/>
    <w:rsid w:val="00D92050"/>
    <w:rsid w:val="00DA1C58"/>
    <w:rsid w:val="00DA4272"/>
    <w:rsid w:val="00DB4582"/>
    <w:rsid w:val="00DC17C5"/>
    <w:rsid w:val="00DE4AC5"/>
    <w:rsid w:val="00E11B4D"/>
    <w:rsid w:val="00E12FD2"/>
    <w:rsid w:val="00E400F6"/>
    <w:rsid w:val="00E538B6"/>
    <w:rsid w:val="00E63028"/>
    <w:rsid w:val="00E65F9B"/>
    <w:rsid w:val="00E666A4"/>
    <w:rsid w:val="00E72C87"/>
    <w:rsid w:val="00E74F2B"/>
    <w:rsid w:val="00E76378"/>
    <w:rsid w:val="00E8382C"/>
    <w:rsid w:val="00E94F4B"/>
    <w:rsid w:val="00EA7F08"/>
    <w:rsid w:val="00ED68F8"/>
    <w:rsid w:val="00ED7B34"/>
    <w:rsid w:val="00EE6A4E"/>
    <w:rsid w:val="00EF1FF7"/>
    <w:rsid w:val="00F01C21"/>
    <w:rsid w:val="00F16CE7"/>
    <w:rsid w:val="00F16DA8"/>
    <w:rsid w:val="00F211C1"/>
    <w:rsid w:val="00F34410"/>
    <w:rsid w:val="00F41764"/>
    <w:rsid w:val="00F459CD"/>
    <w:rsid w:val="00F52B06"/>
    <w:rsid w:val="00F53F00"/>
    <w:rsid w:val="00F8562D"/>
    <w:rsid w:val="00F859D6"/>
    <w:rsid w:val="00F85A5F"/>
    <w:rsid w:val="00F86351"/>
    <w:rsid w:val="00F9282D"/>
    <w:rsid w:val="00F9295B"/>
    <w:rsid w:val="00FA0288"/>
    <w:rsid w:val="00FA3C6F"/>
    <w:rsid w:val="00FB34DC"/>
    <w:rsid w:val="00FE1903"/>
    <w:rsid w:val="00FF63E3"/>
    <w:rsid w:val="03C92138"/>
    <w:rsid w:val="0B11346B"/>
    <w:rsid w:val="12B3392C"/>
    <w:rsid w:val="13DA764C"/>
    <w:rsid w:val="20A00FF4"/>
    <w:rsid w:val="211527C9"/>
    <w:rsid w:val="26E6580E"/>
    <w:rsid w:val="2A081E1F"/>
    <w:rsid w:val="2E3C1091"/>
    <w:rsid w:val="2E45728A"/>
    <w:rsid w:val="43D04FB9"/>
    <w:rsid w:val="463B0B28"/>
    <w:rsid w:val="4C584BAF"/>
    <w:rsid w:val="529B5746"/>
    <w:rsid w:val="548C2B66"/>
    <w:rsid w:val="63285509"/>
    <w:rsid w:val="64131BD4"/>
    <w:rsid w:val="66F46DB7"/>
    <w:rsid w:val="677D3E9F"/>
    <w:rsid w:val="6D1C0CFA"/>
    <w:rsid w:val="6F9D6B0F"/>
    <w:rsid w:val="76C12B66"/>
    <w:rsid w:val="76D551D8"/>
    <w:rsid w:val="7B7A5642"/>
    <w:rsid w:val="7C577FBC"/>
    <w:rsid w:val="7DC37FEF"/>
    <w:rsid w:val="7F2100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6DC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76D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76DC7"/>
    <w:rPr>
      <w:sz w:val="18"/>
      <w:szCs w:val="18"/>
    </w:rPr>
  </w:style>
  <w:style w:type="character" w:customStyle="1" w:styleId="Char">
    <w:name w:val="页脚 Char"/>
    <w:basedOn w:val="a0"/>
    <w:link w:val="a3"/>
    <w:uiPriority w:val="99"/>
    <w:rsid w:val="00976DC7"/>
    <w:rPr>
      <w:sz w:val="18"/>
      <w:szCs w:val="18"/>
    </w:rPr>
  </w:style>
  <w:style w:type="paragraph" w:customStyle="1" w:styleId="Default">
    <w:name w:val="Default"/>
    <w:qFormat/>
    <w:rsid w:val="00976DC7"/>
    <w:pPr>
      <w:widowControl w:val="0"/>
      <w:autoSpaceDE w:val="0"/>
      <w:autoSpaceDN w:val="0"/>
      <w:adjustRightInd w:val="0"/>
    </w:pPr>
    <w:rPr>
      <w:rFonts w:ascii="宋体" w:eastAsia="宋体" w:cs="宋体"/>
      <w:color w:val="000000"/>
      <w:sz w:val="24"/>
      <w:szCs w:val="24"/>
    </w:rPr>
  </w:style>
  <w:style w:type="paragraph" w:styleId="a5">
    <w:name w:val="List Paragraph"/>
    <w:basedOn w:val="a"/>
    <w:uiPriority w:val="34"/>
    <w:qFormat/>
    <w:rsid w:val="00976DC7"/>
    <w:pPr>
      <w:ind w:firstLineChars="200" w:firstLine="420"/>
    </w:pPr>
  </w:style>
  <w:style w:type="paragraph" w:styleId="a6">
    <w:name w:val="Balloon Text"/>
    <w:basedOn w:val="a"/>
    <w:link w:val="Char1"/>
    <w:uiPriority w:val="99"/>
    <w:semiHidden/>
    <w:unhideWhenUsed/>
    <w:rsid w:val="00BF0AA8"/>
    <w:rPr>
      <w:sz w:val="18"/>
      <w:szCs w:val="18"/>
    </w:rPr>
  </w:style>
  <w:style w:type="character" w:customStyle="1" w:styleId="Char1">
    <w:name w:val="批注框文本 Char"/>
    <w:basedOn w:val="a0"/>
    <w:link w:val="a6"/>
    <w:uiPriority w:val="99"/>
    <w:semiHidden/>
    <w:rsid w:val="00BF0AA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textRotate="1"/>
    <customShpInfo spid="_x0000_s3076" textRotate="1"/>
    <customShpInfo spid="_x0000_s3075" textRotate="1"/>
    <customShpInfo spid="_x0000_s3074" textRotate="1"/>
    <customShpInfo spid="_x0000_s2050"/>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6A1C1-A727-421E-BDAD-093A535B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612</Words>
  <Characters>3492</Characters>
  <Application>Microsoft Office Word</Application>
  <DocSecurity>0</DocSecurity>
  <Lines>29</Lines>
  <Paragraphs>8</Paragraphs>
  <ScaleCrop>false</ScaleCrop>
  <Company>微软中国</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德惠法院</dc:creator>
  <cp:lastModifiedBy>德惠行政庭</cp:lastModifiedBy>
  <cp:revision>5</cp:revision>
  <cp:lastPrinted>2022-07-29T07:50:00Z</cp:lastPrinted>
  <dcterms:created xsi:type="dcterms:W3CDTF">2022-07-29T07:56:00Z</dcterms:created>
  <dcterms:modified xsi:type="dcterms:W3CDTF">2022-10-26T02:19:00Z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