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C5" w:rsidRPr="002013C5" w:rsidRDefault="002013C5" w:rsidP="002013C5">
      <w:pPr>
        <w:ind w:firstLineChars="200" w:firstLine="880"/>
        <w:jc w:val="center"/>
        <w:rPr>
          <w:rFonts w:ascii="仿宋" w:eastAsia="仿宋" w:hAnsi="仿宋" w:hint="eastAsia"/>
          <w:sz w:val="44"/>
          <w:szCs w:val="44"/>
        </w:rPr>
      </w:pPr>
      <w:r w:rsidRPr="002013C5">
        <w:rPr>
          <w:rFonts w:ascii="仿宋" w:eastAsia="仿宋" w:hAnsi="仿宋" w:hint="eastAsia"/>
          <w:sz w:val="44"/>
          <w:szCs w:val="44"/>
        </w:rPr>
        <w:t>提供自助查询功能介绍</w:t>
      </w:r>
    </w:p>
    <w:p w:rsidR="00D33189" w:rsidRDefault="008450E6" w:rsidP="008450E6">
      <w:pPr>
        <w:ind w:firstLineChars="200" w:firstLine="640"/>
      </w:pPr>
      <w:r>
        <w:rPr>
          <w:rFonts w:ascii="仿宋" w:eastAsia="仿宋" w:hAnsi="仿宋" w:hint="eastAsia"/>
          <w:sz w:val="32"/>
          <w:szCs w:val="32"/>
        </w:rPr>
        <w:t>人民法院为了适应司法环境变化和审判业务发展的现实需要，开通了网上立案平台，这是适应“互联网+司法便民”的新模式，也是满足人民群众司法需求的新举措。我院支持多种网上立案方式，包括诉讼服务网即吉林电子法院，吉林移动微法院，法院官方网站，法院诉讼服务终端和微信立案。当事人及诉讼代理人可以随时随地完成网上立案，提交以后，我院数字法院业务应用系统上可以看到当事人的立案申请及上传的立案材料，当事人就可以进行诉讼活动了。我院支持庭审直播功能，当事人可以在网上观看庭审直播。我院严格按照法律规定进行裁判文书公开工作，当事人可以在吉林电子法院、中国裁判文书网上查看已公开的裁判文书。电子档案、电子卷宗查看方面，诉讼服务中心有电子阅卷机，当事人可以查看卷宗材料，当事人也可以通过吉林电子法院、移动微法院、诉讼服务终端查看电子卷宗。关于档案借阅方面，对外，我院在诉讼服务中心社设置了调档窗口，在这里可以调取卷宗材料刻录的光盘。对内，我院内部人员可以通过办案系统进行档案和卷宗的查看和借阅。</w:t>
      </w:r>
    </w:p>
    <w:sectPr w:rsidR="00D33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189" w:rsidRDefault="00D33189" w:rsidP="008450E6">
      <w:r>
        <w:separator/>
      </w:r>
    </w:p>
  </w:endnote>
  <w:endnote w:type="continuationSeparator" w:id="1">
    <w:p w:rsidR="00D33189" w:rsidRDefault="00D33189" w:rsidP="00845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189" w:rsidRDefault="00D33189" w:rsidP="008450E6">
      <w:r>
        <w:separator/>
      </w:r>
    </w:p>
  </w:footnote>
  <w:footnote w:type="continuationSeparator" w:id="1">
    <w:p w:rsidR="00D33189" w:rsidRDefault="00D33189" w:rsidP="00845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0E6"/>
    <w:rsid w:val="002013C5"/>
    <w:rsid w:val="008450E6"/>
    <w:rsid w:val="00D33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0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0E6"/>
    <w:rPr>
      <w:sz w:val="18"/>
      <w:szCs w:val="18"/>
    </w:rPr>
  </w:style>
  <w:style w:type="paragraph" w:styleId="a4">
    <w:name w:val="footer"/>
    <w:basedOn w:val="a"/>
    <w:link w:val="Char0"/>
    <w:uiPriority w:val="99"/>
    <w:semiHidden/>
    <w:unhideWhenUsed/>
    <w:rsid w:val="008450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50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china</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2020-10-19T02:26:00Z</dcterms:created>
  <dcterms:modified xsi:type="dcterms:W3CDTF">2020-10-19T02:27:00Z</dcterms:modified>
</cp:coreProperties>
</file>