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u w:val="none"/>
        </w:rPr>
        <w:pict>
          <v:shape id="_x0000_i1025" o:spt="136" type="#_x0000_t136" style="height:59.2pt;width:404.25pt;" fillcolor="#FF0000" filled="t" stroked="t" coordsize="21600,21600" adj="108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吉林省德惠市人民法院&#10;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</w:p>
    <w:p>
      <w:pPr>
        <w:jc w:val="both"/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4" w:lineRule="atLeas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5"/>
          <w:sz w:val="32"/>
          <w:szCs w:val="32"/>
          <w:shd w:val="clear" w:color="auto" w:fill="FFFFFF"/>
          <w:lang w:val="en-US" w:eastAsia="zh-CN"/>
        </w:rPr>
        <w:t>德法〔2020〕20号</w:t>
      </w:r>
    </w:p>
    <w:p>
      <w:pPr>
        <w:jc w:val="both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45085</wp:posOffset>
                </wp:positionV>
                <wp:extent cx="5429250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53465" y="2773045"/>
                          <a:ext cx="542925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7.05pt;margin-top:3.55pt;height:0.05pt;width:427.5pt;z-index:251658240;mso-width-relative:page;mso-height-relative:page;" filled="f" stroked="t" coordsize="21600,21600" o:gfxdata="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6ibso1gAAAAcBAAAP&#10;AAAAAAAAAAEAIAAAACIAAABkcnMvZG93bnJldi54bWxQSwECFAAUAAAACACHTuJAhhEQ2eEBAACc&#10;AwAADgAAAAAAAAABACAAAAAlAQAAZHJzL2Uyb0RvYy54bWxQSwUGAAAAAAYABgBZAQAAeA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  <w:t>德惠市人民法院“人民群众诉讼服务体验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52"/>
          <w:lang w:val="en-US" w:eastAsia="zh-CN"/>
        </w:rPr>
        <w:t>提升改善计划”行动月实施方案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为进一步提高全院干警对“人民群众诉讼服务体验提升改善计划”的充分认识，努力推动专项行动各项惠民举措落地落实，持续回应人民群众对法院工作的期盼关切，德惠法院决定开展“人民群众诉讼服务体验提升改善计划”行动月活动，制定实施方案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黑体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以习近平新时代中国特色社会主义思想为指导，全面贯彻落实党的十九大和十九届二中、三中、四中全会精神，始终坚持以人民为中心的发展思想,紧紧围绕“人民群众诉讼服务体验提升改善计划”的工作主题，把维护人民权益作为根本出发点,把方便群众诉讼始终放在第一位,围绕审判执行工作中的“痛点”“难点”“堵点”问题，为人民群众办实事解难题，彻底改变法院“门难进、脸难看、事难办”的刻板印象，让人民群众诉讼服务体验更舒心、更顺心、更省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二、具体任务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“人民群众诉讼服务体验提升改善计划”行动月活动旨在通过六月份一个月的集中时间，对我院的各项工作进行全面“体检”，力求以“体检”促规范、提质效、树公信。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广泛听取人民群众和社会各界人士对法院工作的意见建议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①群众引进来，举办“法院开放日”活动。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邀请人大代表、政协委员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、人民陪审员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以及社会各界人士代表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到我院进行参观，观摩庭审、开展座谈、征求意见，对我院工作进行满意度测评；开门接群众，行动月期间我院实行院领导信访值班工作制度，真正为群众解难题办实事。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②干警走出去，深入基层发放调查问卷。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在我院立案庭、审判庭、人民法庭、巡回审判点、调解中心放置调查问卷，将问题反馈工作融入我院工作的各个环节；针对涉农、涉商等主体，深入田间、企业集中开展问询；走访退休老干部、老法官对我院工作进行反馈，提出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（二）狠抓“人民群众诉讼服务体验提升改善计划”专项行动的贯彻落实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①全面自查，疏堵各项工作漏洞。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与“加强管理年”活动相结合，按照“人民群众诉讼服务体验提升改善计划”专项行动实施方案，对我院工作开展自查自纠，结合好差评制度对窗口服务进行评价，对信访、庭审、执行接待等工作进行明察暗访，并通报检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②集中汇报，检验专项行动阶段性进展。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围绕专项行动阶段性进展、工作中存在的问题、下一步工作计划、预期目标逐一听取各部门工作汇报；与中、青年干警代表进行谈心谈话，开展“大学习、大讨论”活动，促进专项行动各项举措的深度落实。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③突出重点，改善人民群众诉讼服务体验。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结合我院现阶段工作实际情况，对近期91件裁驳案件进行重新审查；对长期未结案件进行再调度；雇佣第三方机构对我院重点案件、普通案件、发改案件、裁判文书进行评查；以案件质效的提升推动诉讼服务体验的改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（三）开展“人民群众诉讼服务体验提升改善计划”行动月宣传活动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①线上密集宣传。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加强与宣传部门的沟通协调，充分利用德惠融媒、德惠政法、魅力德惠、德惠市人民法院等线上媒体平台，对我院行动月活动进行密集宣传；广泛向各庭室征集相关宣传案例，要见事实、见数据、见成效，掀起宣传热潮，推动行动月活动走向深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  <w:t>②线下集中活动。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要创新宣传方式，集中开展线下宣传活动，在我院诉讼服务中心、便民利民接待室悬挂条幅、展板，发放宣传折页；在乡镇广场等人群密集场所开展普法活动，大力宣传德惠法院提升人民群众诉讼服务体验的制度举措，积极营造亲民、爱民、帮民的良好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40"/>
          <w:lang w:val="en-US" w:eastAsia="zh-CN"/>
        </w:rPr>
        <w:t>三、工作要求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（一）搞好统筹，加强组织领导。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“人民群众诉讼服务体验提升改善计划”行动月活动是我院六月份的重点工作，专项行动成员部门要负起责任，做好活动的组织、实施、宣传等工作；业务部门要统筹处理好活动开展与业务工作的关系，特别是六月份处于结案高峰时期，要将行动月活动融入日常工作中，以案件质效的提升推进行动月活动的深入落实，做到相得益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（二）高度重视，坚持全员参与。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“人民群众诉讼服务体验提升改善计划”专项行动是德惠法院2020年的工作主题，是德惠法院进一步实现公正司法、司法高效，彰显司法温度、司法为民的有力抓手、重要举措。开展行动月活动是为了深入推进专项活动，全院上下务必高度重视，坚持“一盘棋”的思想，全员参与到这项活动中，切实做好行动月的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40"/>
          <w:lang w:val="en-US" w:eastAsia="zh-CN"/>
        </w:rPr>
        <w:t>（三）注重总结，突出活动实效。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40"/>
          <w:lang w:val="en-US" w:eastAsia="zh-CN"/>
        </w:rPr>
        <w:t>充分利用行动月活动总结经验做法，要对德惠法院专项行动的各项举措查缺补漏并继续抓实抓细；要对行动月活动中，人民群众及社会各界人士提出的意见建议进行总结，对收回调查问卷的数据进行统计；活动结束后，各部门要对存在的问题进行整改，以整改成果突出活动效果，推动我院工作实现新提升、新突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0" w:firstLineChars="20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德惠市人民法院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2020年6月1日</w:t>
      </w:r>
    </w:p>
    <w:p/>
    <w:p/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p>
      <w:pPr>
        <w:widowControl/>
        <w:adjustRightInd w:val="0"/>
        <w:snapToGrid w:val="0"/>
        <w:spacing w:beforeLines="30" w:afterLines="30" w:line="360" w:lineRule="exact"/>
        <w:rPr>
          <w:rFonts w:hint="eastAsia" w:ascii="仿宋" w:hAnsi="仿宋" w:eastAsia="仿宋" w:cs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296545</wp:posOffset>
                </wp:positionV>
                <wp:extent cx="5591175" cy="0"/>
                <wp:effectExtent l="0" t="9525" r="9525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8380" y="8547735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3pt;margin-top:23.35pt;height:0pt;width:440.25pt;z-index:251663360;mso-width-relative:page;mso-height-relative:page;" filled="f" stroked="t" coordsize="21600,21600" o:gfxdata="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tLpz9kAAAAIAQAADwAA&#10;AAAAAAABACAAAAAiAAAAZHJzL2Rvd25yZXYueG1sUEsBAhQAFAAAAAgAh07iQCpSEDrcAQAAfgMA&#10;AA4AAAAAAAAAAQAgAAAAKAEAAGRycy9lMm9Eb2MueG1sUEsFBgAAAAAGAAYAWQEAAHYFAAAAAA=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 w:val="0"/>
        <w:snapToGrid w:val="0"/>
        <w:spacing w:beforeLines="30" w:afterLines="30" w:line="360" w:lineRule="exact"/>
        <w:rPr>
          <w:rFonts w:hint="eastAsia" w:ascii="仿宋" w:hAnsi="仿宋" w:eastAsia="仿宋" w:cs="仿宋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发：本院各部门</w:t>
      </w:r>
    </w:p>
    <w:p>
      <w:pPr>
        <w:widowControl/>
        <w:adjustRightInd w:val="0"/>
        <w:snapToGrid w:val="0"/>
        <w:spacing w:beforeLines="30" w:afterLines="30" w:line="36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</wp:posOffset>
                </wp:positionV>
                <wp:extent cx="5591175" cy="0"/>
                <wp:effectExtent l="0" t="9525" r="9525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8380" y="8547735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05pt;margin-top:1.2pt;height:0pt;width:440.25pt;z-index:251669504;mso-width-relative:page;mso-height-relative:page;" filled="f" stroked="t" coordsize="21600,21600" o:gfxdata="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HclqGTVAAAABgEAAA8AAAAAAAAA&#10;AQAgAAAAIgAAAGRycy9kb3ducmV2LnhtbFBLAQIUABQAAAAIAIdO4kCXuCa32wEAAH4DAAAOAAAA&#10;AAAAAAEAIAAAACQBAABkcnMvZTJvRG9jLnhtbFBLBQYAAAAABgAGAFkBAABxBQAAAAA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Up7fH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825F6"/>
    <w:multiLevelType w:val="singleLevel"/>
    <w:tmpl w:val="49C825F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33F4"/>
    <w:rsid w:val="07453A5E"/>
    <w:rsid w:val="199B10F4"/>
    <w:rsid w:val="1DAF76BA"/>
    <w:rsid w:val="311309FF"/>
    <w:rsid w:val="3C290B69"/>
    <w:rsid w:val="66EC06FC"/>
    <w:rsid w:val="76B5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bjh-p"/>
    <w:basedOn w:val="6"/>
    <w:qFormat/>
    <w:uiPriority w:val="0"/>
  </w:style>
  <w:style w:type="paragraph" w:customStyle="1" w:styleId="9">
    <w:name w:val="Normal_0"/>
    <w:qFormat/>
    <w:uiPriority w:val="99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2020-05-29T08:00:00Z</dcterms:created>
  <dc:creator>lenovo</dc:creator>
  <cp:lastModifiedBy>lenovo</cp:lastModifiedBy>
  <dcterms:modified xsi:type="dcterms:W3CDTF">2020-06-01T00:15:12Z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